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5BE14" w14:textId="68E91277" w:rsidR="0015176B" w:rsidRPr="007C1FF1" w:rsidRDefault="005F5334" w:rsidP="0045593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C1FF1">
        <w:rPr>
          <w:rFonts w:asciiTheme="minorHAnsi" w:hAnsiTheme="minorHAnsi" w:cstheme="minorHAnsi"/>
          <w:sz w:val="24"/>
          <w:szCs w:val="24"/>
        </w:rPr>
        <w:t>REPUBLIKA HRVATSKA</w:t>
      </w:r>
    </w:p>
    <w:p w14:paraId="50766008" w14:textId="3205DA99" w:rsidR="005F5334" w:rsidRPr="007C1FF1" w:rsidRDefault="000D629D" w:rsidP="00455938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OSNOVNA ŠKOLA GAREŠNICA</w:t>
      </w:r>
    </w:p>
    <w:p w14:paraId="31A7126A" w14:textId="53BB0DAA" w:rsidR="005F5334" w:rsidRPr="007C1FF1" w:rsidRDefault="000D629D" w:rsidP="00455938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KOLODVORSKA 4</w:t>
      </w:r>
    </w:p>
    <w:p w14:paraId="5CAAE57D" w14:textId="418A3B16" w:rsidR="005F5334" w:rsidRPr="007C1FF1" w:rsidRDefault="005F5334" w:rsidP="0045593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C1FF1">
        <w:rPr>
          <w:rFonts w:asciiTheme="minorHAnsi" w:hAnsiTheme="minorHAnsi" w:cstheme="minorHAnsi"/>
          <w:sz w:val="24"/>
          <w:szCs w:val="24"/>
        </w:rPr>
        <w:t>43280 GAREŠNICA</w:t>
      </w:r>
    </w:p>
    <w:p w14:paraId="6F099414" w14:textId="0969DBEB" w:rsidR="005F5334" w:rsidRPr="007C1FF1" w:rsidRDefault="005F5334" w:rsidP="0045593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C1FF1">
        <w:rPr>
          <w:rFonts w:asciiTheme="minorHAnsi" w:hAnsiTheme="minorHAnsi" w:cstheme="minorHAnsi"/>
          <w:sz w:val="24"/>
          <w:szCs w:val="24"/>
        </w:rPr>
        <w:t>KLASA:</w:t>
      </w:r>
      <w:r w:rsidR="00B179B2">
        <w:rPr>
          <w:rFonts w:asciiTheme="minorHAnsi" w:hAnsiTheme="minorHAnsi" w:cstheme="minorHAnsi"/>
          <w:sz w:val="24"/>
          <w:szCs w:val="24"/>
        </w:rPr>
        <w:t xml:space="preserve"> 400-04</w:t>
      </w:r>
      <w:r w:rsidR="001A5BC6">
        <w:rPr>
          <w:rFonts w:asciiTheme="minorHAnsi" w:hAnsiTheme="minorHAnsi" w:cstheme="minorHAnsi"/>
          <w:sz w:val="24"/>
          <w:szCs w:val="24"/>
        </w:rPr>
        <w:t>/24-01/01</w:t>
      </w:r>
    </w:p>
    <w:p w14:paraId="7B52CB23" w14:textId="0C6D2BD3" w:rsidR="005F5334" w:rsidRPr="007C1FF1" w:rsidRDefault="005F5334" w:rsidP="0045593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C1FF1">
        <w:rPr>
          <w:rFonts w:asciiTheme="minorHAnsi" w:hAnsiTheme="minorHAnsi" w:cstheme="minorHAnsi"/>
          <w:sz w:val="24"/>
          <w:szCs w:val="24"/>
        </w:rPr>
        <w:t>URBROJ:</w:t>
      </w:r>
      <w:r w:rsidR="001A5BC6">
        <w:rPr>
          <w:rFonts w:asciiTheme="minorHAnsi" w:hAnsiTheme="minorHAnsi" w:cstheme="minorHAnsi"/>
          <w:sz w:val="24"/>
          <w:szCs w:val="24"/>
        </w:rPr>
        <w:t xml:space="preserve"> 2103-4-5-24-1</w:t>
      </w:r>
    </w:p>
    <w:p w14:paraId="7E84CD1F" w14:textId="1AE39055" w:rsidR="005F5334" w:rsidRPr="007C1FF1" w:rsidRDefault="00834ADC" w:rsidP="00455938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Garešnica, 27.03.2024.</w:t>
      </w:r>
    </w:p>
    <w:p w14:paraId="27A96984" w14:textId="0CAE29BC" w:rsidR="00991504" w:rsidRPr="007C1FF1" w:rsidRDefault="00991504" w:rsidP="00395C47">
      <w:pPr>
        <w:pStyle w:val="Bezproreda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941A90C" w14:textId="0F1C8104" w:rsidR="00BC3810" w:rsidRPr="007C1FF1" w:rsidRDefault="00BC3810" w:rsidP="00BC3810">
      <w:pPr>
        <w:pStyle w:val="Bezproreda"/>
        <w:rPr>
          <w:rFonts w:ascii="Times New Roman" w:hAnsi="Times New Roman"/>
          <w:sz w:val="24"/>
          <w:szCs w:val="24"/>
        </w:rPr>
      </w:pPr>
    </w:p>
    <w:p w14:paraId="457549F0" w14:textId="515C6200" w:rsidR="00BC3810" w:rsidRPr="007347ED" w:rsidRDefault="000D629D" w:rsidP="0045593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Temeljem članka 86. Zakona o proračunu (NN 144/2021), Pravilnika o polugodišnjem i godišnjem izvještaju o izvršenju Proračuna </w:t>
      </w:r>
      <w:r w:rsidR="00E829A2">
        <w:rPr>
          <w:rFonts w:ascii="Times New Roman" w:hAnsi="Times New Roman"/>
        </w:rPr>
        <w:t xml:space="preserve"> i Financijskog plana </w:t>
      </w:r>
      <w:r>
        <w:rPr>
          <w:rFonts w:ascii="Times New Roman" w:hAnsi="Times New Roman"/>
        </w:rPr>
        <w:t xml:space="preserve">(NN </w:t>
      </w:r>
      <w:r w:rsidR="00E829A2">
        <w:rPr>
          <w:rFonts w:ascii="Times New Roman" w:hAnsi="Times New Roman"/>
        </w:rPr>
        <w:t>65/23.</w:t>
      </w:r>
      <w:r>
        <w:rPr>
          <w:rFonts w:ascii="Times New Roman" w:hAnsi="Times New Roman"/>
        </w:rPr>
        <w:t>) i članka 59. Statuta Osnovne škole  Garešnica, Garešnica  Školski odbor</w:t>
      </w:r>
      <w:r w:rsidR="00E829A2">
        <w:rPr>
          <w:rFonts w:ascii="Times New Roman" w:hAnsi="Times New Roman"/>
        </w:rPr>
        <w:t xml:space="preserve"> Osnovne škole Garešnica</w:t>
      </w:r>
      <w:r w:rsidR="00834ADC">
        <w:rPr>
          <w:rFonts w:ascii="Times New Roman" w:hAnsi="Times New Roman"/>
        </w:rPr>
        <w:t xml:space="preserve"> na sjednici održanoj 27.03.2024.</w:t>
      </w:r>
      <w:r w:rsidR="00E829A2">
        <w:rPr>
          <w:rFonts w:ascii="Times New Roman" w:hAnsi="Times New Roman"/>
        </w:rPr>
        <w:t xml:space="preserve"> donosi</w:t>
      </w:r>
      <w:r w:rsidR="005F5334" w:rsidRPr="007C1F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392B6907" w14:textId="77777777" w:rsidR="00455938" w:rsidRDefault="00455938" w:rsidP="00090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4CB96B" w14:textId="1D7EAB69" w:rsidR="007347ED" w:rsidRPr="007C1FF1" w:rsidRDefault="00295B73" w:rsidP="00455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Godišnje izvješće o izvršenju financijskog plana OŠ Garešnica</w:t>
      </w:r>
      <w:r w:rsidR="00E829A2">
        <w:rPr>
          <w:rFonts w:ascii="Times New Roman" w:hAnsi="Times New Roman" w:cs="Times New Roman"/>
          <w:b/>
          <w:sz w:val="24"/>
          <w:szCs w:val="24"/>
        </w:rPr>
        <w:t xml:space="preserve">  za 2023. godinu</w:t>
      </w:r>
    </w:p>
    <w:p w14:paraId="09DEF697" w14:textId="77777777" w:rsidR="00BC3810" w:rsidRPr="007C1FF1" w:rsidRDefault="00BC3810" w:rsidP="00BC3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FF1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49A6B45B" w14:textId="674F41FE" w:rsidR="00BC3810" w:rsidRPr="00455938" w:rsidRDefault="0071161B" w:rsidP="00BC3810">
      <w:pPr>
        <w:jc w:val="both"/>
        <w:rPr>
          <w:rFonts w:ascii="Times New Roman" w:hAnsi="Times New Roman" w:cs="Times New Roman"/>
          <w:sz w:val="24"/>
          <w:szCs w:val="24"/>
        </w:rPr>
      </w:pPr>
      <w:r w:rsidRPr="00455938">
        <w:rPr>
          <w:rFonts w:ascii="Times New Roman" w:hAnsi="Times New Roman" w:cs="Times New Roman"/>
          <w:sz w:val="24"/>
          <w:szCs w:val="24"/>
        </w:rPr>
        <w:t>G</w:t>
      </w:r>
      <w:r w:rsidR="00631A72" w:rsidRPr="00455938">
        <w:rPr>
          <w:rFonts w:ascii="Times New Roman" w:hAnsi="Times New Roman" w:cs="Times New Roman"/>
          <w:sz w:val="24"/>
          <w:szCs w:val="24"/>
        </w:rPr>
        <w:t>odiš</w:t>
      </w:r>
      <w:r w:rsidR="00F8475B" w:rsidRPr="00455938">
        <w:rPr>
          <w:rFonts w:ascii="Times New Roman" w:hAnsi="Times New Roman" w:cs="Times New Roman"/>
          <w:sz w:val="24"/>
          <w:szCs w:val="24"/>
        </w:rPr>
        <w:t>nje</w:t>
      </w:r>
      <w:r w:rsidR="00252EB7" w:rsidRPr="00455938">
        <w:rPr>
          <w:rFonts w:ascii="Times New Roman" w:hAnsi="Times New Roman" w:cs="Times New Roman"/>
          <w:sz w:val="24"/>
          <w:szCs w:val="24"/>
        </w:rPr>
        <w:t xml:space="preserve"> izvješće o izvršenju </w:t>
      </w:r>
      <w:r w:rsidR="00B56D88" w:rsidRPr="00455938">
        <w:rPr>
          <w:rFonts w:ascii="Times New Roman" w:hAnsi="Times New Roman" w:cs="Times New Roman"/>
          <w:sz w:val="24"/>
          <w:szCs w:val="24"/>
        </w:rPr>
        <w:t xml:space="preserve">Financijskog plana </w:t>
      </w:r>
      <w:r w:rsidR="00295B73" w:rsidRPr="00455938">
        <w:rPr>
          <w:rFonts w:ascii="Times New Roman" w:hAnsi="Times New Roman" w:cs="Times New Roman"/>
          <w:sz w:val="24"/>
          <w:szCs w:val="24"/>
        </w:rPr>
        <w:t>OŠ Garešnica</w:t>
      </w:r>
      <w:r w:rsidR="00AA1476" w:rsidRPr="00455938">
        <w:rPr>
          <w:rFonts w:ascii="Times New Roman" w:hAnsi="Times New Roman" w:cs="Times New Roman"/>
          <w:sz w:val="24"/>
          <w:szCs w:val="24"/>
        </w:rPr>
        <w:t xml:space="preserve"> za 20</w:t>
      </w:r>
      <w:r w:rsidR="00FD7207" w:rsidRPr="00455938">
        <w:rPr>
          <w:rFonts w:ascii="Times New Roman" w:hAnsi="Times New Roman" w:cs="Times New Roman"/>
          <w:sz w:val="24"/>
          <w:szCs w:val="24"/>
        </w:rPr>
        <w:t>2</w:t>
      </w:r>
      <w:r w:rsidR="00F8475B" w:rsidRPr="00455938">
        <w:rPr>
          <w:rFonts w:ascii="Times New Roman" w:hAnsi="Times New Roman" w:cs="Times New Roman"/>
          <w:sz w:val="24"/>
          <w:szCs w:val="24"/>
        </w:rPr>
        <w:t>3</w:t>
      </w:r>
      <w:r w:rsidR="00BC3810" w:rsidRPr="00455938">
        <w:rPr>
          <w:rFonts w:ascii="Times New Roman" w:hAnsi="Times New Roman" w:cs="Times New Roman"/>
          <w:sz w:val="24"/>
          <w:szCs w:val="24"/>
        </w:rPr>
        <w:t>. godinu sadrži:</w:t>
      </w:r>
    </w:p>
    <w:p w14:paraId="3ABDF7D8" w14:textId="22504F2F" w:rsidR="009D2F75" w:rsidRPr="00455938" w:rsidRDefault="009D2F75" w:rsidP="009D2F7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455938">
        <w:rPr>
          <w:rFonts w:ascii="Times New Roman" w:hAnsi="Times New Roman" w:cs="Times New Roman"/>
        </w:rPr>
        <w:t>Opći dio izvršenja financijskog plana sadrži:</w:t>
      </w:r>
    </w:p>
    <w:p w14:paraId="24D9E260" w14:textId="77777777" w:rsidR="009D2F75" w:rsidRPr="00455938" w:rsidRDefault="009D2F75" w:rsidP="009D2F75">
      <w:pPr>
        <w:pStyle w:val="Odlomakpopisa"/>
        <w:numPr>
          <w:ilvl w:val="1"/>
          <w:numId w:val="14"/>
        </w:numPr>
        <w:contextualSpacing w:val="0"/>
        <w:rPr>
          <w:sz w:val="22"/>
          <w:szCs w:val="22"/>
        </w:rPr>
      </w:pPr>
      <w:r w:rsidRPr="00455938">
        <w:rPr>
          <w:sz w:val="22"/>
          <w:szCs w:val="22"/>
        </w:rPr>
        <w:t>Sažetak Računa prihoda i rashoda i Računa financiranja</w:t>
      </w:r>
    </w:p>
    <w:p w14:paraId="55CE4C99" w14:textId="77777777" w:rsidR="009D2F75" w:rsidRPr="00455938" w:rsidRDefault="009D2F75" w:rsidP="009D2F75">
      <w:pPr>
        <w:pStyle w:val="Odlomakpopisa"/>
        <w:numPr>
          <w:ilvl w:val="1"/>
          <w:numId w:val="14"/>
        </w:numPr>
        <w:contextualSpacing w:val="0"/>
        <w:rPr>
          <w:sz w:val="22"/>
          <w:szCs w:val="22"/>
        </w:rPr>
      </w:pPr>
      <w:r w:rsidRPr="00455938">
        <w:rPr>
          <w:sz w:val="22"/>
          <w:szCs w:val="22"/>
        </w:rPr>
        <w:t>Račun prihoda i rashoda</w:t>
      </w:r>
    </w:p>
    <w:p w14:paraId="665D6D9C" w14:textId="77777777" w:rsidR="009D2F75" w:rsidRPr="00455938" w:rsidRDefault="009D2F75" w:rsidP="009D2F7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455938">
        <w:rPr>
          <w:rFonts w:ascii="Times New Roman" w:hAnsi="Times New Roman" w:cs="Times New Roman"/>
        </w:rPr>
        <w:t>Izvještaj o prihodim i rashodima prema ekonomskoj klasifikaciji</w:t>
      </w:r>
    </w:p>
    <w:p w14:paraId="2942E652" w14:textId="77777777" w:rsidR="009D2F75" w:rsidRPr="00455938" w:rsidRDefault="009D2F75" w:rsidP="009D2F7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455938">
        <w:rPr>
          <w:rFonts w:ascii="Times New Roman" w:hAnsi="Times New Roman" w:cs="Times New Roman"/>
        </w:rPr>
        <w:t>Izvještaj o prihodim i rashodima prema izvorima financiranja,</w:t>
      </w:r>
    </w:p>
    <w:p w14:paraId="068A99CE" w14:textId="77777777" w:rsidR="009D2F75" w:rsidRPr="00455938" w:rsidRDefault="009D2F75" w:rsidP="009D2F7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455938">
        <w:rPr>
          <w:rFonts w:ascii="Times New Roman" w:hAnsi="Times New Roman" w:cs="Times New Roman"/>
        </w:rPr>
        <w:t>Izvještaj o rashodima prema funkcijskoj klasifikaciji</w:t>
      </w:r>
    </w:p>
    <w:p w14:paraId="0E3B284A" w14:textId="77777777" w:rsidR="009D2F75" w:rsidRPr="00455938" w:rsidRDefault="009D2F75" w:rsidP="009D2F75">
      <w:pPr>
        <w:pStyle w:val="Odlomakpopisa"/>
        <w:numPr>
          <w:ilvl w:val="1"/>
          <w:numId w:val="14"/>
        </w:numPr>
        <w:contextualSpacing w:val="0"/>
        <w:rPr>
          <w:sz w:val="22"/>
          <w:szCs w:val="22"/>
        </w:rPr>
      </w:pPr>
      <w:r w:rsidRPr="00455938">
        <w:rPr>
          <w:sz w:val="22"/>
          <w:szCs w:val="22"/>
        </w:rPr>
        <w:t>Račun financiranja</w:t>
      </w:r>
    </w:p>
    <w:p w14:paraId="0E85580E" w14:textId="77777777" w:rsidR="009D2F75" w:rsidRPr="00455938" w:rsidRDefault="009D2F75" w:rsidP="009D2F7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455938">
        <w:rPr>
          <w:rFonts w:ascii="Times New Roman" w:hAnsi="Times New Roman" w:cs="Times New Roman"/>
        </w:rPr>
        <w:t>Izvještaj računa financiranja prema ekonomskoj klasifikaciji,</w:t>
      </w:r>
    </w:p>
    <w:p w14:paraId="2C8FDB44" w14:textId="24B78DEB" w:rsidR="009D2F75" w:rsidRPr="00455938" w:rsidRDefault="009D2F75" w:rsidP="009D2F7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455938">
        <w:rPr>
          <w:rFonts w:ascii="Times New Roman" w:hAnsi="Times New Roman" w:cs="Times New Roman"/>
        </w:rPr>
        <w:t>Izvještaj računa financiranja prema izvorima financiranja</w:t>
      </w:r>
    </w:p>
    <w:p w14:paraId="30CC3B73" w14:textId="77777777" w:rsidR="00531072" w:rsidRPr="00455938" w:rsidRDefault="00531072" w:rsidP="0009089A">
      <w:pPr>
        <w:spacing w:after="0" w:line="240" w:lineRule="auto"/>
        <w:ind w:left="2160"/>
        <w:rPr>
          <w:rFonts w:ascii="Times New Roman" w:hAnsi="Times New Roman" w:cs="Times New Roman"/>
        </w:rPr>
      </w:pPr>
    </w:p>
    <w:p w14:paraId="25DB92CD" w14:textId="30D3FF53" w:rsidR="009D2F75" w:rsidRPr="00455938" w:rsidRDefault="009D2F75" w:rsidP="009D2F7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455938">
        <w:rPr>
          <w:rFonts w:ascii="Times New Roman" w:hAnsi="Times New Roman" w:cs="Times New Roman"/>
        </w:rPr>
        <w:t>Posebni dio izvršenja financijskog plana sadrži:</w:t>
      </w:r>
    </w:p>
    <w:p w14:paraId="739B86CE" w14:textId="3063BD3E" w:rsidR="009D2F75" w:rsidRPr="00455938" w:rsidRDefault="009D2F75" w:rsidP="009D2F7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455938">
        <w:rPr>
          <w:rFonts w:ascii="Times New Roman" w:hAnsi="Times New Roman" w:cs="Times New Roman"/>
        </w:rPr>
        <w:t>Izvještaj po programskoj klasifikaciji – (prikaz rashoda i izdataka iskazanih po izvorima financiranja i ekonomskoj klasifikaciji, raspoređenih u programe koji se sastoje od aktivnosti i projekta).</w:t>
      </w:r>
    </w:p>
    <w:p w14:paraId="7D5FCE68" w14:textId="77777777" w:rsidR="00531072" w:rsidRPr="00455938" w:rsidRDefault="00531072" w:rsidP="00455938">
      <w:pPr>
        <w:spacing w:after="0" w:line="240" w:lineRule="auto"/>
        <w:ind w:left="2160"/>
        <w:rPr>
          <w:rFonts w:ascii="Times New Roman" w:hAnsi="Times New Roman" w:cs="Times New Roman"/>
        </w:rPr>
      </w:pPr>
    </w:p>
    <w:p w14:paraId="308F7FDA" w14:textId="59AEBDEC" w:rsidR="009D2F75" w:rsidRPr="00455938" w:rsidRDefault="009D2F75" w:rsidP="009D2F7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455938">
        <w:rPr>
          <w:rFonts w:ascii="Times New Roman" w:hAnsi="Times New Roman" w:cs="Times New Roman"/>
        </w:rPr>
        <w:t>Obrazloženje izvršenja financijskog plan:</w:t>
      </w:r>
    </w:p>
    <w:p w14:paraId="4E87EF58" w14:textId="77777777" w:rsidR="009D2F75" w:rsidRPr="00455938" w:rsidRDefault="009D2F75" w:rsidP="009D2F75">
      <w:pPr>
        <w:pStyle w:val="Odlomakpopisa"/>
        <w:numPr>
          <w:ilvl w:val="1"/>
          <w:numId w:val="14"/>
        </w:numPr>
        <w:contextualSpacing w:val="0"/>
        <w:rPr>
          <w:sz w:val="22"/>
          <w:szCs w:val="22"/>
        </w:rPr>
      </w:pPr>
      <w:r w:rsidRPr="00455938">
        <w:rPr>
          <w:sz w:val="22"/>
          <w:szCs w:val="22"/>
        </w:rPr>
        <w:t>Obrazloženje općeg dijela izvještaja</w:t>
      </w:r>
    </w:p>
    <w:p w14:paraId="11E73E5E" w14:textId="0D556D9C" w:rsidR="00531072" w:rsidRPr="00455938" w:rsidRDefault="009D2F75" w:rsidP="0009089A">
      <w:pPr>
        <w:pStyle w:val="Odlomakpopisa"/>
        <w:numPr>
          <w:ilvl w:val="1"/>
          <w:numId w:val="14"/>
        </w:numPr>
        <w:contextualSpacing w:val="0"/>
        <w:rPr>
          <w:sz w:val="22"/>
          <w:szCs w:val="22"/>
        </w:rPr>
      </w:pPr>
      <w:r w:rsidRPr="00455938">
        <w:rPr>
          <w:sz w:val="22"/>
          <w:szCs w:val="22"/>
        </w:rPr>
        <w:t xml:space="preserve">Obrazloženje posebnog dijela izvještaja </w:t>
      </w:r>
    </w:p>
    <w:p w14:paraId="64F3B719" w14:textId="77777777" w:rsidR="009D2F75" w:rsidRPr="00455938" w:rsidRDefault="009D2F75" w:rsidP="009D2F7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455938">
        <w:rPr>
          <w:rFonts w:ascii="Times New Roman" w:hAnsi="Times New Roman" w:cs="Times New Roman"/>
        </w:rPr>
        <w:t>Posebni izvještaji</w:t>
      </w:r>
    </w:p>
    <w:p w14:paraId="74C415F1" w14:textId="77777777" w:rsidR="009D2F75" w:rsidRPr="00455938" w:rsidRDefault="009D2F75" w:rsidP="009D2F75">
      <w:pPr>
        <w:pStyle w:val="Odlomakpopisa"/>
        <w:numPr>
          <w:ilvl w:val="1"/>
          <w:numId w:val="14"/>
        </w:numPr>
        <w:contextualSpacing w:val="0"/>
        <w:rPr>
          <w:sz w:val="22"/>
          <w:szCs w:val="22"/>
        </w:rPr>
      </w:pPr>
      <w:r w:rsidRPr="00455938">
        <w:rPr>
          <w:sz w:val="22"/>
          <w:szCs w:val="22"/>
        </w:rPr>
        <w:t>Izvještaj o zaduživanju na domaćem i stranom tržištu novca i kapitala,</w:t>
      </w:r>
    </w:p>
    <w:p w14:paraId="218AB2EB" w14:textId="77777777" w:rsidR="009D2F75" w:rsidRPr="00455938" w:rsidRDefault="009D2F75" w:rsidP="009D2F75">
      <w:pPr>
        <w:pStyle w:val="Odlomakpopisa"/>
        <w:numPr>
          <w:ilvl w:val="1"/>
          <w:numId w:val="14"/>
        </w:numPr>
        <w:contextualSpacing w:val="0"/>
        <w:rPr>
          <w:sz w:val="22"/>
          <w:szCs w:val="22"/>
        </w:rPr>
      </w:pPr>
      <w:r w:rsidRPr="00455938">
        <w:rPr>
          <w:sz w:val="22"/>
          <w:szCs w:val="22"/>
        </w:rPr>
        <w:t>Izvještaj o korištenju sredstava fondova Europske unije</w:t>
      </w:r>
    </w:p>
    <w:p w14:paraId="60FE984B" w14:textId="03205FD8" w:rsidR="009D2F75" w:rsidRPr="00455938" w:rsidRDefault="009D2F75" w:rsidP="009D2F75">
      <w:pPr>
        <w:pStyle w:val="Odlomakpopisa"/>
        <w:numPr>
          <w:ilvl w:val="1"/>
          <w:numId w:val="14"/>
        </w:numPr>
        <w:contextualSpacing w:val="0"/>
        <w:rPr>
          <w:sz w:val="22"/>
          <w:szCs w:val="22"/>
        </w:rPr>
      </w:pPr>
      <w:r w:rsidRPr="00455938">
        <w:rPr>
          <w:sz w:val="22"/>
          <w:szCs w:val="22"/>
        </w:rPr>
        <w:t xml:space="preserve">Izvještaj o danim zajmovima i potraživanjima po danim zajmovima i </w:t>
      </w:r>
    </w:p>
    <w:p w14:paraId="641FF68E" w14:textId="5876AB47" w:rsidR="00531072" w:rsidRPr="00455938" w:rsidRDefault="00531072" w:rsidP="00531072">
      <w:pPr>
        <w:pStyle w:val="Odlomakpopisa"/>
        <w:numPr>
          <w:ilvl w:val="1"/>
          <w:numId w:val="14"/>
        </w:numPr>
        <w:jc w:val="both"/>
      </w:pPr>
      <w:r w:rsidRPr="00455938">
        <w:t>Izvještaj o stanju potraživanja i dospjelih i dospjelih obveza te stanju potencijalnih obveza po osnovi sudskih sporova</w:t>
      </w:r>
    </w:p>
    <w:p w14:paraId="0C09842A" w14:textId="77777777" w:rsidR="00531072" w:rsidRPr="00455938" w:rsidRDefault="00531072" w:rsidP="00531072">
      <w:pPr>
        <w:pStyle w:val="Odlomakpopisa"/>
        <w:ind w:left="1854"/>
        <w:contextualSpacing w:val="0"/>
        <w:rPr>
          <w:sz w:val="22"/>
          <w:szCs w:val="22"/>
        </w:rPr>
      </w:pPr>
    </w:p>
    <w:p w14:paraId="6134F1DE" w14:textId="762B3BA5" w:rsidR="004F7736" w:rsidRPr="00455938" w:rsidRDefault="004F7736" w:rsidP="00F3785A">
      <w:pPr>
        <w:pStyle w:val="Bezproreda"/>
        <w:tabs>
          <w:tab w:val="left" w:pos="284"/>
        </w:tabs>
        <w:rPr>
          <w:rFonts w:ascii="Times New Roman" w:hAnsi="Times New Roman"/>
        </w:rPr>
      </w:pPr>
    </w:p>
    <w:p w14:paraId="1FB1F317" w14:textId="4806F9EA" w:rsidR="005C25A1" w:rsidRPr="00455938" w:rsidRDefault="00F3785A" w:rsidP="00BC3810">
      <w:pPr>
        <w:pStyle w:val="Bezproreda"/>
        <w:rPr>
          <w:rFonts w:ascii="Times New Roman" w:hAnsi="Times New Roman"/>
        </w:rPr>
      </w:pPr>
      <w:r w:rsidRPr="00455938">
        <w:rPr>
          <w:rFonts w:ascii="Times New Roman" w:hAnsi="Times New Roman"/>
        </w:rPr>
        <w:t xml:space="preserve"> </w:t>
      </w:r>
      <w:r w:rsidR="004314CF" w:rsidRPr="00455938">
        <w:rPr>
          <w:rFonts w:ascii="Times New Roman" w:hAnsi="Times New Roman"/>
        </w:rPr>
        <w:t xml:space="preserve">     </w:t>
      </w:r>
    </w:p>
    <w:p w14:paraId="0E649640" w14:textId="68631F29" w:rsidR="00BC3810" w:rsidRPr="00455938" w:rsidRDefault="00BC3810" w:rsidP="00BC3810">
      <w:pPr>
        <w:jc w:val="center"/>
        <w:rPr>
          <w:rFonts w:ascii="Times New Roman" w:hAnsi="Times New Roman" w:cs="Times New Roman"/>
          <w:b/>
        </w:rPr>
      </w:pPr>
      <w:r w:rsidRPr="00455938">
        <w:rPr>
          <w:rFonts w:ascii="Times New Roman" w:hAnsi="Times New Roman" w:cs="Times New Roman"/>
          <w:b/>
        </w:rPr>
        <w:t>Članak 2.</w:t>
      </w:r>
    </w:p>
    <w:p w14:paraId="43E4C97A" w14:textId="49F17608" w:rsidR="00BC3810" w:rsidRPr="00455938" w:rsidRDefault="00BC3810" w:rsidP="00BC3810">
      <w:pPr>
        <w:jc w:val="both"/>
        <w:rPr>
          <w:rFonts w:ascii="Times New Roman" w:hAnsi="Times New Roman" w:cs="Times New Roman"/>
        </w:rPr>
      </w:pPr>
      <w:r w:rsidRPr="00455938">
        <w:rPr>
          <w:rFonts w:ascii="Times New Roman" w:hAnsi="Times New Roman" w:cs="Times New Roman"/>
        </w:rPr>
        <w:t xml:space="preserve">Donosi se </w:t>
      </w:r>
      <w:r w:rsidR="009F1835" w:rsidRPr="00455938">
        <w:rPr>
          <w:rFonts w:ascii="Times New Roman" w:hAnsi="Times New Roman" w:cs="Times New Roman"/>
        </w:rPr>
        <w:t>Godišnje izvješće o izvršenju financijskog plana za 202</w:t>
      </w:r>
      <w:r w:rsidR="009E7EA0" w:rsidRPr="00455938">
        <w:rPr>
          <w:rFonts w:ascii="Times New Roman" w:hAnsi="Times New Roman" w:cs="Times New Roman"/>
        </w:rPr>
        <w:t>3</w:t>
      </w:r>
      <w:r w:rsidR="009F1835" w:rsidRPr="00455938">
        <w:rPr>
          <w:rFonts w:ascii="Times New Roman" w:hAnsi="Times New Roman" w:cs="Times New Roman"/>
        </w:rPr>
        <w:t>. godinu</w:t>
      </w:r>
      <w:r w:rsidRPr="00455938">
        <w:rPr>
          <w:rFonts w:ascii="Times New Roman" w:hAnsi="Times New Roman" w:cs="Times New Roman"/>
        </w:rPr>
        <w:t xml:space="preserve"> kako slijedi:</w:t>
      </w:r>
    </w:p>
    <w:p w14:paraId="402D9BD2" w14:textId="77777777" w:rsidR="00BC3810" w:rsidRPr="008E194E" w:rsidRDefault="00BC3810" w:rsidP="00BC3810">
      <w:pPr>
        <w:jc w:val="both"/>
        <w:rPr>
          <w:rFonts w:asciiTheme="minorHAnsi" w:hAnsiTheme="minorHAnsi" w:cstheme="minorHAnsi"/>
        </w:rPr>
        <w:sectPr w:rsidR="00BC3810" w:rsidRPr="008E194E" w:rsidSect="00473AAA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30BF9943" w14:textId="77777777" w:rsidR="00B21CC2" w:rsidRDefault="00B21CC2" w:rsidP="00D6529A">
      <w:pPr>
        <w:spacing w:after="0" w:line="240" w:lineRule="auto"/>
        <w:rPr>
          <w:rFonts w:asciiTheme="minorHAnsi" w:hAnsiTheme="minorHAnsi" w:cs="Times New Roman"/>
          <w:b/>
          <w:bCs/>
          <w:color w:val="000000"/>
          <w:sz w:val="24"/>
          <w:szCs w:val="24"/>
          <w:lang w:eastAsia="hr-HR"/>
        </w:rPr>
      </w:pPr>
    </w:p>
    <w:p w14:paraId="41676E3D" w14:textId="77777777" w:rsidR="00C753C7" w:rsidRDefault="00C753C7" w:rsidP="008D0378">
      <w:pPr>
        <w:spacing w:after="0" w:line="240" w:lineRule="auto"/>
        <w:jc w:val="center"/>
        <w:rPr>
          <w:rFonts w:asciiTheme="minorHAnsi" w:hAnsiTheme="minorHAnsi" w:cs="Times New Roman"/>
          <w:b/>
          <w:bCs/>
          <w:color w:val="000000"/>
          <w:sz w:val="24"/>
          <w:szCs w:val="24"/>
          <w:lang w:eastAsia="hr-HR"/>
        </w:rPr>
      </w:pPr>
    </w:p>
    <w:p w14:paraId="0DEFA86A" w14:textId="7FFDBFEE" w:rsidR="00AE248D" w:rsidRPr="0040711A" w:rsidRDefault="003A66B4" w:rsidP="0040711A">
      <w:pPr>
        <w:ind w:left="360"/>
        <w:jc w:val="center"/>
        <w:rPr>
          <w:rFonts w:ascii="Arial" w:hAnsi="Arial" w:cs="Arial"/>
          <w:b/>
          <w:bCs/>
          <w:color w:val="000000"/>
        </w:rPr>
      </w:pPr>
      <w:r w:rsidRPr="00B539A0">
        <w:rPr>
          <w:rFonts w:ascii="Arial" w:hAnsi="Arial" w:cs="Arial"/>
          <w:b/>
          <w:bCs/>
          <w:color w:val="000000"/>
        </w:rPr>
        <w:t>1</w:t>
      </w:r>
      <w:r w:rsidR="00B539A0" w:rsidRPr="00B539A0">
        <w:rPr>
          <w:rFonts w:ascii="Arial" w:hAnsi="Arial" w:cs="Arial"/>
          <w:b/>
          <w:bCs/>
          <w:color w:val="000000"/>
        </w:rPr>
        <w:t xml:space="preserve">.1. </w:t>
      </w:r>
      <w:r w:rsidR="00F2742E" w:rsidRPr="00B539A0">
        <w:rPr>
          <w:rFonts w:ascii="Arial" w:hAnsi="Arial" w:cs="Arial"/>
          <w:b/>
          <w:bCs/>
          <w:color w:val="000000"/>
        </w:rPr>
        <w:t xml:space="preserve">Sažetak </w:t>
      </w:r>
      <w:r w:rsidR="008D0378" w:rsidRPr="00B539A0">
        <w:rPr>
          <w:rFonts w:ascii="Arial" w:hAnsi="Arial" w:cs="Arial"/>
          <w:b/>
          <w:bCs/>
          <w:color w:val="000000"/>
        </w:rPr>
        <w:t>Izvještaj</w:t>
      </w:r>
      <w:r w:rsidR="00F2742E" w:rsidRPr="00B539A0">
        <w:rPr>
          <w:rFonts w:ascii="Arial" w:hAnsi="Arial" w:cs="Arial"/>
          <w:b/>
          <w:bCs/>
          <w:color w:val="000000"/>
        </w:rPr>
        <w:t>a</w:t>
      </w:r>
      <w:r w:rsidR="008D0378" w:rsidRPr="00B539A0">
        <w:rPr>
          <w:rFonts w:ascii="Arial" w:hAnsi="Arial" w:cs="Arial"/>
          <w:b/>
          <w:bCs/>
          <w:color w:val="000000"/>
        </w:rPr>
        <w:t xml:space="preserve"> o izvršenju općeg dijela proračuna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8"/>
        <w:gridCol w:w="717"/>
        <w:gridCol w:w="713"/>
        <w:gridCol w:w="712"/>
        <w:gridCol w:w="712"/>
        <w:gridCol w:w="709"/>
        <w:gridCol w:w="709"/>
        <w:gridCol w:w="709"/>
        <w:gridCol w:w="709"/>
        <w:gridCol w:w="709"/>
        <w:gridCol w:w="709"/>
        <w:gridCol w:w="708"/>
        <w:gridCol w:w="708"/>
        <w:gridCol w:w="800"/>
        <w:gridCol w:w="800"/>
        <w:gridCol w:w="708"/>
        <w:gridCol w:w="708"/>
        <w:gridCol w:w="507"/>
        <w:gridCol w:w="507"/>
        <w:gridCol w:w="507"/>
        <w:gridCol w:w="507"/>
      </w:tblGrid>
      <w:tr w:rsidR="0040711A" w:rsidRPr="0040711A" w14:paraId="73044D59" w14:textId="77777777" w:rsidTr="0040711A">
        <w:trPr>
          <w:trHeight w:val="348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DCE9" w14:textId="17D3F880" w:rsidR="0040711A" w:rsidRPr="0040711A" w:rsidRDefault="0040711A" w:rsidP="004071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A35F" w14:textId="77777777" w:rsidR="0040711A" w:rsidRPr="0040711A" w:rsidRDefault="0040711A" w:rsidP="004071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40711A" w:rsidRPr="0040711A" w14:paraId="6AE4CE19" w14:textId="77777777" w:rsidTr="0040711A">
        <w:trPr>
          <w:trHeight w:val="264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475F" w14:textId="77777777" w:rsidR="0040711A" w:rsidRPr="0040711A" w:rsidRDefault="0040711A" w:rsidP="004071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Za razdoblje od 01.01.2023. do 31.12.2023.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BAB0" w14:textId="77777777" w:rsidR="0040711A" w:rsidRPr="0040711A" w:rsidRDefault="0040711A" w:rsidP="00407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40711A" w:rsidRPr="0040711A" w14:paraId="5B1E44A4" w14:textId="77777777" w:rsidTr="0040711A">
        <w:trPr>
          <w:trHeight w:val="264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7EF4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49CD" w14:textId="77777777" w:rsidR="0040711A" w:rsidRPr="0040711A" w:rsidRDefault="0040711A" w:rsidP="0040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0711A" w:rsidRPr="0040711A" w14:paraId="5A1C1F14" w14:textId="77777777" w:rsidTr="0040711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3B7E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2A8A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BAD6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8140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6878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6C81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7171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016B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725D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2370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6EBC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DD44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51AC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F067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6CC0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B740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E041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D476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8B35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5003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622D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0711A" w:rsidRPr="0040711A" w14:paraId="4398224E" w14:textId="77777777" w:rsidTr="0040711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2E17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EA71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D2D4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10DE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E63F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D150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960B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15BC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C328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CB17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3169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4CE1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3560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4AFC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9EB4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6031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1AEF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0236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C514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8CF1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0358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0711A" w:rsidRPr="0040711A" w14:paraId="55A54F24" w14:textId="77777777" w:rsidTr="0040711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F449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6837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DBB4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3412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92C6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86A0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9A04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68E3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B9B5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4E82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D7CD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8FA3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5AF2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E3FD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0DF2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B6C2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1302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0819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6ECA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0EB4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E8A2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0711A" w:rsidRPr="0040711A" w14:paraId="73309499" w14:textId="77777777" w:rsidTr="0040711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EC13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7722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3235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19D0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EC19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4303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B250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9A4D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63BF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862D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6CD9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AE73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6804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2D35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163B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B650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15F3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BA8F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CB08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A589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3204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0711A" w:rsidRPr="0040711A" w14:paraId="55B65348" w14:textId="77777777" w:rsidTr="0040711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A6EC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7099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4E49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22E7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F6B2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F164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644C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585B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5D00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767C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3057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4369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E9C3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B6C8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E16F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43CD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FF92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2D54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A636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5663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D59B" w14:textId="77777777" w:rsidR="0040711A" w:rsidRPr="0040711A" w:rsidRDefault="0040711A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0711A" w:rsidRPr="0040711A" w14:paraId="7A1F4888" w14:textId="77777777" w:rsidTr="0040711A">
        <w:trPr>
          <w:trHeight w:val="26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A5CA6F" w14:textId="77777777" w:rsidR="0040711A" w:rsidRPr="0040711A" w:rsidRDefault="0040711A" w:rsidP="004071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53DB3E" w14:textId="77777777" w:rsidR="0040711A" w:rsidRPr="0040711A" w:rsidRDefault="0040711A" w:rsidP="004071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Izvršenje 2022. €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0EA7F9" w14:textId="77777777" w:rsidR="0040711A" w:rsidRPr="0040711A" w:rsidRDefault="0040711A" w:rsidP="004071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Izvorni plan 2023. €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4EDC1E" w14:textId="77777777" w:rsidR="0040711A" w:rsidRPr="0040711A" w:rsidRDefault="0040711A" w:rsidP="004071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Izvršenje 2023. €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5F2A83" w14:textId="77777777" w:rsidR="0040711A" w:rsidRPr="0040711A" w:rsidRDefault="0040711A" w:rsidP="004071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EEC59A" w14:textId="77777777" w:rsidR="0040711A" w:rsidRPr="0040711A" w:rsidRDefault="0040711A" w:rsidP="004071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40711A" w:rsidRPr="0040711A" w14:paraId="62E37E45" w14:textId="77777777" w:rsidTr="0040711A">
        <w:trPr>
          <w:trHeight w:val="26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D2E9453" w14:textId="77777777" w:rsidR="0040711A" w:rsidRPr="0040711A" w:rsidRDefault="0040711A" w:rsidP="0040711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EFD0501" w14:textId="77777777" w:rsidR="0040711A" w:rsidRPr="0040711A" w:rsidRDefault="0040711A" w:rsidP="004071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BB5AA76" w14:textId="77777777" w:rsidR="0040711A" w:rsidRPr="0040711A" w:rsidRDefault="0040711A" w:rsidP="004071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3596C6D" w14:textId="77777777" w:rsidR="0040711A" w:rsidRPr="0040711A" w:rsidRDefault="0040711A" w:rsidP="004071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8A1594F" w14:textId="77777777" w:rsidR="0040711A" w:rsidRPr="0040711A" w:rsidRDefault="0040711A" w:rsidP="004071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0EBD8A8" w14:textId="77777777" w:rsidR="0040711A" w:rsidRPr="0040711A" w:rsidRDefault="0040711A" w:rsidP="004071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40711A" w:rsidRPr="0040711A" w14:paraId="1BD8D437" w14:textId="77777777" w:rsidTr="0040711A">
        <w:trPr>
          <w:trHeight w:val="26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03B8" w14:textId="77777777" w:rsidR="0040711A" w:rsidRPr="0040711A" w:rsidRDefault="0040711A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7DD8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6C55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2.254.341,00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E0CE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2.197.847,93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24AB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61D3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97,49%</w:t>
            </w:r>
          </w:p>
        </w:tc>
      </w:tr>
      <w:tr w:rsidR="0040711A" w:rsidRPr="0040711A" w14:paraId="21EB853E" w14:textId="77777777" w:rsidTr="0040711A">
        <w:trPr>
          <w:trHeight w:val="26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FF7F" w14:textId="77777777" w:rsidR="0040711A" w:rsidRPr="0040711A" w:rsidRDefault="0040711A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7 Prihodi od prodaje nefinancijske imovine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89D9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1416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6A0E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81AA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23DD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0711A" w:rsidRPr="0040711A" w14:paraId="29622338" w14:textId="77777777" w:rsidTr="0040711A">
        <w:trPr>
          <w:trHeight w:val="26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5897" w14:textId="77777777" w:rsidR="0040711A" w:rsidRPr="0040711A" w:rsidRDefault="0040711A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UKUPNI PRIHODI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741D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85E1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2.254.341,00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E0A2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2.197.847,93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5CCC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F5EC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97,49%</w:t>
            </w:r>
          </w:p>
        </w:tc>
      </w:tr>
      <w:tr w:rsidR="0040711A" w:rsidRPr="0040711A" w14:paraId="5280AB61" w14:textId="77777777" w:rsidTr="0040711A">
        <w:trPr>
          <w:trHeight w:val="26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F5EF" w14:textId="77777777" w:rsidR="0040711A" w:rsidRPr="0040711A" w:rsidRDefault="0040711A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9C74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E4AF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2.235.578,00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DF8C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2.182.359,06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CCC1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1296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97,62%</w:t>
            </w:r>
          </w:p>
        </w:tc>
      </w:tr>
      <w:tr w:rsidR="0040711A" w:rsidRPr="0040711A" w14:paraId="48FB51AB" w14:textId="77777777" w:rsidTr="0040711A">
        <w:trPr>
          <w:trHeight w:val="26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8C7E" w14:textId="77777777" w:rsidR="0040711A" w:rsidRPr="0040711A" w:rsidRDefault="0040711A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98F6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F162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20.534,00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F22D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20.252,47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7D51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6584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98,63%</w:t>
            </w:r>
          </w:p>
        </w:tc>
      </w:tr>
      <w:tr w:rsidR="0040711A" w:rsidRPr="0040711A" w14:paraId="783D7A39" w14:textId="77777777" w:rsidTr="0040711A">
        <w:trPr>
          <w:trHeight w:val="26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E95B" w14:textId="77777777" w:rsidR="0040711A" w:rsidRPr="0040711A" w:rsidRDefault="0040711A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UKUPNI RASHODI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38E6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BEAD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2.256.112,00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B4B6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2.202.611,53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76FE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D60E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97,63%</w:t>
            </w:r>
          </w:p>
        </w:tc>
      </w:tr>
      <w:tr w:rsidR="0040711A" w:rsidRPr="0040711A" w14:paraId="27FE7164" w14:textId="77777777" w:rsidTr="0040711A">
        <w:trPr>
          <w:trHeight w:val="26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E42D" w14:textId="77777777" w:rsidR="0040711A" w:rsidRPr="0040711A" w:rsidRDefault="0040711A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VIŠAK / MANJAK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7BC5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2435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-1.771,00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F7F9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-4.763,60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C274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C26C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268,98%</w:t>
            </w:r>
          </w:p>
        </w:tc>
      </w:tr>
      <w:tr w:rsidR="0040711A" w:rsidRPr="0040711A" w14:paraId="0E506131" w14:textId="77777777" w:rsidTr="0040711A">
        <w:trPr>
          <w:trHeight w:val="26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750E018" w14:textId="77777777" w:rsidR="0040711A" w:rsidRPr="0040711A" w:rsidRDefault="0040711A" w:rsidP="0040711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B. RAČUN ZADUŽIVANJA / FINANCIRANJA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4B1DF99" w14:textId="77777777" w:rsidR="0040711A" w:rsidRPr="0040711A" w:rsidRDefault="0040711A" w:rsidP="0040711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6DBB31E" w14:textId="77777777" w:rsidR="0040711A" w:rsidRPr="0040711A" w:rsidRDefault="0040711A" w:rsidP="0040711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5736B20" w14:textId="77777777" w:rsidR="0040711A" w:rsidRPr="0040711A" w:rsidRDefault="0040711A" w:rsidP="0040711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7E193AC" w14:textId="77777777" w:rsidR="0040711A" w:rsidRPr="0040711A" w:rsidRDefault="0040711A" w:rsidP="0040711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3EB20A7" w14:textId="77777777" w:rsidR="0040711A" w:rsidRPr="0040711A" w:rsidRDefault="0040711A" w:rsidP="0040711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40711A" w:rsidRPr="0040711A" w14:paraId="619A7C36" w14:textId="77777777" w:rsidTr="0040711A">
        <w:trPr>
          <w:trHeight w:val="26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42F5" w14:textId="77777777" w:rsidR="0040711A" w:rsidRPr="0040711A" w:rsidRDefault="0040711A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8 Primici od financijske imovine i zaduživanja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86A5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5963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DE97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2676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7460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0711A" w:rsidRPr="0040711A" w14:paraId="456B7C32" w14:textId="77777777" w:rsidTr="0040711A">
        <w:trPr>
          <w:trHeight w:val="26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0EB0" w14:textId="77777777" w:rsidR="0040711A" w:rsidRPr="0040711A" w:rsidRDefault="0040711A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656E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1197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A586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CD17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A2CE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0711A" w:rsidRPr="0040711A" w14:paraId="5327F3AA" w14:textId="77777777" w:rsidTr="0040711A">
        <w:trPr>
          <w:trHeight w:val="26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6F51" w14:textId="77777777" w:rsidR="0040711A" w:rsidRPr="0040711A" w:rsidRDefault="0040711A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NETO ZADUŽIVANJE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5881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4426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463D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633B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BCCE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0711A" w:rsidRPr="0040711A" w14:paraId="02439D0F" w14:textId="77777777" w:rsidTr="0040711A">
        <w:trPr>
          <w:trHeight w:val="26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AFE0" w14:textId="77777777" w:rsidR="0040711A" w:rsidRPr="0040711A" w:rsidRDefault="0040711A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UKUPNI DONOS VIŠKA / MANJKA IZ PRETHODNE(IH) GODINA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0C87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5CF4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C22C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0168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AA13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0711A" w:rsidRPr="0040711A" w14:paraId="5E54F9B4" w14:textId="77777777" w:rsidTr="0040711A">
        <w:trPr>
          <w:trHeight w:val="26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E931" w14:textId="77777777" w:rsidR="0040711A" w:rsidRPr="0040711A" w:rsidRDefault="0040711A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VIŠAK / MANJAK IZ PRETHODNE(IH) GODINE KOJI ĆE SE POKRITI / RASPOREDITI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E51A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015F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1.771,00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54C7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4A21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CD26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0711A" w:rsidRPr="0040711A" w14:paraId="4DDAC27B" w14:textId="77777777" w:rsidTr="0040711A">
        <w:trPr>
          <w:trHeight w:val="26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CFC527E" w14:textId="77777777" w:rsidR="0040711A" w:rsidRPr="0040711A" w:rsidRDefault="0040711A" w:rsidP="0040711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VIŠAK / MANJAK + NETO ZADUŽIVANJE / FINANCIRANJE + KORIŠTENO U PRETHODNIM GODINAMA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6F59F63" w14:textId="77777777" w:rsidR="0040711A" w:rsidRPr="0040711A" w:rsidRDefault="0040711A" w:rsidP="0040711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7F07D4B" w14:textId="77777777" w:rsidR="0040711A" w:rsidRPr="0040711A" w:rsidRDefault="0040711A" w:rsidP="0040711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0038879" w14:textId="77777777" w:rsidR="0040711A" w:rsidRPr="0040711A" w:rsidRDefault="0040711A" w:rsidP="0040711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2978F2E" w14:textId="77777777" w:rsidR="0040711A" w:rsidRPr="0040711A" w:rsidRDefault="0040711A" w:rsidP="0040711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B5CB00E" w14:textId="77777777" w:rsidR="0040711A" w:rsidRPr="0040711A" w:rsidRDefault="0040711A" w:rsidP="0040711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40711A" w:rsidRPr="0040711A" w14:paraId="307B2C3D" w14:textId="77777777" w:rsidTr="0040711A">
        <w:trPr>
          <w:trHeight w:val="26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C7C4" w14:textId="77777777" w:rsidR="0040711A" w:rsidRPr="0040711A" w:rsidRDefault="0040711A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REZULTAT GODINE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974C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2A6E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A67D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-4.763,60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CBE0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0846" w14:textId="77777777" w:rsidR="0040711A" w:rsidRPr="0040711A" w:rsidRDefault="0040711A" w:rsidP="004071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071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</w:tbl>
    <w:p w14:paraId="26853B37" w14:textId="77777777" w:rsidR="0040711A" w:rsidRPr="00567E23" w:rsidRDefault="0040711A" w:rsidP="00AE248D">
      <w:pPr>
        <w:ind w:left="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6A981E8" w14:textId="77777777" w:rsidR="00C753C7" w:rsidRDefault="00C753C7" w:rsidP="0040711A">
      <w:pPr>
        <w:spacing w:after="0" w:line="240" w:lineRule="auto"/>
        <w:rPr>
          <w:rFonts w:asciiTheme="minorHAnsi" w:hAnsiTheme="minorHAnsi" w:cstheme="minorHAnsi"/>
          <w:color w:val="000000"/>
          <w:lang w:eastAsia="hr-HR"/>
        </w:rPr>
      </w:pPr>
    </w:p>
    <w:p w14:paraId="319136CD" w14:textId="77777777" w:rsidR="00C0252E" w:rsidRDefault="00C0252E" w:rsidP="00BC3810">
      <w:pPr>
        <w:spacing w:after="0" w:line="240" w:lineRule="auto"/>
        <w:rPr>
          <w:rFonts w:asciiTheme="minorHAnsi" w:hAnsiTheme="minorHAnsi" w:cstheme="minorHAnsi"/>
          <w:color w:val="000000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180"/>
        <w:gridCol w:w="222"/>
        <w:gridCol w:w="221"/>
        <w:gridCol w:w="221"/>
        <w:gridCol w:w="221"/>
        <w:gridCol w:w="221"/>
      </w:tblGrid>
      <w:tr w:rsidR="001859B5" w:rsidRPr="009F1835" w14:paraId="35161A3E" w14:textId="77777777" w:rsidTr="0040711A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64A72" w14:textId="1D489B30" w:rsidR="009F1835" w:rsidRPr="00841748" w:rsidRDefault="00232127" w:rsidP="004071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841748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lastRenderedPageBreak/>
              <w:t>1.</w:t>
            </w:r>
            <w:r w:rsidR="003E2105" w:rsidRPr="00841748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2</w:t>
            </w:r>
            <w:r w:rsidR="001E4412" w:rsidRPr="00841748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.1</w:t>
            </w:r>
            <w:r w:rsidR="00567E23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.</w:t>
            </w:r>
            <w:r w:rsidR="001E4412" w:rsidRPr="00841748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841748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585769" w:rsidRPr="00841748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Prihodi i rashodi prema ekonomskoj klasifikaciji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2D55F" w14:textId="3DC337FD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0952C" w14:textId="77777777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795F8" w14:textId="190707CE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134E6" w14:textId="107FFC84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6FAF3" w14:textId="31F7F508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1859B5" w:rsidRPr="009F1835" w14:paraId="1CD3D60F" w14:textId="77777777" w:rsidTr="0040711A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97E76" w14:textId="5F1FFBEA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548B7" w14:textId="3F19E2D6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351C6" w14:textId="77777777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4E2BC" w14:textId="1715EC60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B1CEA" w14:textId="78F2D658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115F2" w14:textId="2945E1C4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1859B5" w:rsidRPr="009F1835" w14:paraId="7EE0F5A1" w14:textId="77777777" w:rsidTr="0040711A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83BC6" w14:textId="77777777" w:rsidR="00246F3E" w:rsidRPr="00567E23" w:rsidRDefault="00246F3E" w:rsidP="00C46F0B">
            <w:pPr>
              <w:ind w:left="3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7E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razdoblje od 01.01.2023. do 31.12.2023. godine</w:t>
            </w:r>
          </w:p>
          <w:tbl>
            <w:tblPr>
              <w:tblW w:w="13004" w:type="dxa"/>
              <w:tblLook w:val="04A0" w:firstRow="1" w:lastRow="0" w:firstColumn="1" w:lastColumn="0" w:noHBand="0" w:noVBand="1"/>
            </w:tblPr>
            <w:tblGrid>
              <w:gridCol w:w="6405"/>
              <w:gridCol w:w="1209"/>
              <w:gridCol w:w="1413"/>
              <w:gridCol w:w="1519"/>
              <w:gridCol w:w="1209"/>
              <w:gridCol w:w="1209"/>
            </w:tblGrid>
            <w:tr w:rsidR="00F47AE1" w:rsidRPr="0040711A" w14:paraId="3D6853DB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7FFBF64C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Račun / opis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0024B77A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Izvršenje 2022. €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1B9F6C29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Izvorni plan 2023. €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4E051425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Izvršenje 2023. €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33E2C0F5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Indeks  3/1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1D1157F7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Indeks  3/2</w:t>
                  </w:r>
                </w:p>
              </w:tc>
            </w:tr>
            <w:tr w:rsidR="00F47AE1" w:rsidRPr="0040711A" w14:paraId="1FB62310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6665CA14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  <w:t>A. RAČUN PRIHODA I RASHODA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6A065314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0FAE2319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26854116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611EBC03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731FA2D1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  <w:t>5</w:t>
                  </w:r>
                </w:p>
              </w:tc>
            </w:tr>
            <w:tr w:rsidR="00F47AE1" w:rsidRPr="0040711A" w14:paraId="00C0BFBB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6BEF76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 Prihodi poslovanja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CE42C2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E3CB7D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2.254.341,00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27165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2.197.847,93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C51A9D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ADA97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97,49%</w:t>
                  </w:r>
                </w:p>
              </w:tc>
            </w:tr>
            <w:tr w:rsidR="00F47AE1" w:rsidRPr="0040711A" w14:paraId="36FC1E8B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88197C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63 Pomoći iz inozemstva (darovnice) i od subjekata unutar općeg proračuna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469EDC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494A31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2.093.556,00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025B2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2.049.381,87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A30D15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39BC5C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97,89%</w:t>
                  </w:r>
                </w:p>
              </w:tc>
            </w:tr>
            <w:tr w:rsidR="00F47AE1" w:rsidRPr="0040711A" w14:paraId="2BFF4CDA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2C7D90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636 Pomoći proračunskim korisnicima iz proračuna koji im nije nadležan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D9A03B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E4C3A4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21F25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2.019.786,34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E17EE1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CD7B47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0A6019BB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341CFC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6361 Tekuće pomoći proračunskim korisnicima iz proračuna koji im nije nadležan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48EEEC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02CBD8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2FDE6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2.016.784,96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E357FE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3736F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6F42CF06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7DB73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6362 Kapitalne pomoći proračunskim korisnicima iz proračuna koji im nije nadležan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3A8D50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4C1B4A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BFCEEE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3.001,38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7273C7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D061BF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53F0B623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0D15EF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638 Pomoći iz državnog proračuna temeljem prijenosa EU sredstava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0F5C4D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4ADCB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C2AF3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17.917,00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287CD2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498E9B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13FBF039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830C9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6381 Tekuće pomoći iz državnog proračuna temeljem prijenosa EU sredstava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C46138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D25ECA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8B1CC4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17.917,00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DB3337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489EAC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79E8B110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B75FA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639 Prijenosi između proračunskih korisnika istog proračuna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29DC4C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F53FB3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99AC0A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11.678,53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9D8C4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ADCEF0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5C61681B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DDB7F5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6391 Tekući prijenosi između proračunskih korisnika istog proračuna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729AA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363BBF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9ED1D3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1.751,79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E45169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4071B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7095AE3C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E3B0B9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6393 Tekući prijenosi između proračunskih korisnika istog proračuna temeljem prijenosa EU sredstava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F65AC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EC67B9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4284E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9.926,74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B1B2A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E0A80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3043A55C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4A168E" w14:textId="0EF851F3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64 Prihodi od imovine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008A5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689196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199,00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5F3B2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82C317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831183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0,03%</w:t>
                  </w:r>
                </w:p>
              </w:tc>
            </w:tr>
            <w:tr w:rsidR="00F47AE1" w:rsidRPr="0040711A" w14:paraId="7FF43E94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2B7AF0" w14:textId="676CA20E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641 Prihodi od financijske imovine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180BB9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69D70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529460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12F3AE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1B14A8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5D56E11F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11B3E4" w14:textId="4D91D790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6413 Kamate na oročena sredstva i depozite po viđenju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2F230C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604872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C80306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28CD34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551D6D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19612826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74C48" w14:textId="6F079F6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65 Prihodi od upravnih i administrativnih pristojbi, pristojbi po posebnim propisima i naknada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06672E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B147AD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17.129,00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1763E9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16.080,50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608DA0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2624DD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93,88%</w:t>
                  </w:r>
                </w:p>
              </w:tc>
            </w:tr>
            <w:tr w:rsidR="00F47AE1" w:rsidRPr="0040711A" w14:paraId="359F6D6D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4E0901" w14:textId="127B286F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652 Prihodi po posebnim propisima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C44FB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F0DF3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B70908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16.080,50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24502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7E340B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28A8DE32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35C9DC" w14:textId="19CAE119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6526 Ostali nespomenuti prihodi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8DDFE6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D378BB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CB99A4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16.080,50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D1FE25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0FBBEA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00B2081F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0E400" w14:textId="172A4D75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66 Prihodi od prodaje proizvoda i robe te pruženih usluga i prihodi od donacija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17CAEA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D030AE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E82321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4.394,88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98915E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0D7799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62,78%</w:t>
                  </w:r>
                </w:p>
              </w:tc>
            </w:tr>
            <w:tr w:rsidR="00F47AE1" w:rsidRPr="0040711A" w14:paraId="2E1139EB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EE3C8B" w14:textId="4CEA3F05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661 Prihodi od prodaje proizvoda i robe te pruženih usluga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56B93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4CCBDB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35684C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583,20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EF2059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B8D005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07EE0103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7A7A3" w14:textId="51808186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6615 Prihodi od pruženih usluga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170C0F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647E2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7077EF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583,20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B5B33C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A9F376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246A49D0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A98F67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663 Donacije od pravnih i fizičkih osoba izvan opće države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EF4EEB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B34172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E29579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3.811,68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CFB61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948975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38090868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9E713A" w14:textId="49F5E24C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6631 Tekuće donacije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6A8E8C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B477B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22237B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2.148,07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B811CE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8FE9CB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31862D22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945AC4" w14:textId="78F757AC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6632 Kapitalne donacije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6AFB00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2C1B1F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95238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1.663,61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742601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E2D159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62FC06C9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7E371D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67 Prihodi iz proračuna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150B22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58E8A5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136.457,00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20537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127.990,62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EEF1CF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BF8272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93,80%</w:t>
                  </w:r>
                </w:p>
              </w:tc>
            </w:tr>
            <w:tr w:rsidR="00F47AE1" w:rsidRPr="0040711A" w14:paraId="7950BD7A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9D2FC6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lastRenderedPageBreak/>
                    <w:t>671 Prihodi iz proračuna za financiranje redovne djelatnosti korisnika proračuna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3EA835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C7B4AC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6B05E5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127.990,62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CE131D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FE8BF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7DB9C769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81E636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6711 Prihodi za financiranje rashoda poslovanja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6966E0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CA799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654C1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121.141,76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7E1E1E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5652F9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054D519D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2406BF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6712 Prihodi za financiranje rashoda za nabavu nefinancijske imovine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23B41E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C19780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DDD09B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6.848,86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98B29C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08DE85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6B966870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0977B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 Rashodi poslovanja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FFF9F1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44522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2.235.578,00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7CE4C4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2.182.359,06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6106F8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555B25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97,62%</w:t>
                  </w:r>
                </w:p>
              </w:tc>
            </w:tr>
            <w:tr w:rsidR="00F47AE1" w:rsidRPr="0040711A" w14:paraId="7A15D5DD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319444" w14:textId="43EB4810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31 Rashodi za zaposlene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11A6AD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440F9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1.856.823,00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D4954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1.841.393,00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E2F030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251EA8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99,17%</w:t>
                  </w:r>
                </w:p>
              </w:tc>
            </w:tr>
            <w:tr w:rsidR="00F47AE1" w:rsidRPr="0040711A" w14:paraId="0CEF5037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BA8063" w14:textId="34385AEA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311 Plaće (Bruto)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C2E9B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F4C594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4C8D5E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1.514.145,83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D81761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05C1FA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76DADC7D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E510E4" w14:textId="71049953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3111 Plaće za redovan rad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C5DC8A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AA4836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134A8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1.514.145,83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6DE03A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0110D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51F485DE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498D2A" w14:textId="587AE895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312 Ostali rashodi za zaposlene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95183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78CC7B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4965E0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77.413,53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5F806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98DA1F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21A14A1D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C06EBD" w14:textId="7E39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3121 Ostali rashodi za zaposlene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65215F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BE3C1C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14EF17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77.413,53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2514EE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A0C48E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4AC9D2F6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4FBCC" w14:textId="7DA8FA2D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313 Doprinosi na plaće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5CA2F8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E4C01D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AADEF8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249.833,64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38A00C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609892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79C13709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AF0182" w14:textId="56928A8E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3132 Doprinosi za obvezno zdravstveno osiguranje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D99F69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C5480E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9EA72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249.833,64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53FB72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E20AB3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3DA95A12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695573" w14:textId="4EDA4D51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32 Materijalni rashodi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FFD5F2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BF9576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352.176,00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D57C9A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314.451,36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19E448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576ACF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89,29%</w:t>
                  </w:r>
                </w:p>
              </w:tc>
            </w:tr>
            <w:tr w:rsidR="00F47AE1" w:rsidRPr="0040711A" w14:paraId="08156762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F13A55" w14:textId="27D4ED33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321 Naknade troškova zaposlenima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57A7E5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0CDF1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9508B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101.398,01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13D4F8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DDD3DB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1D6C95AC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2BC097" w14:textId="2E9C9006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3211 Službena putovanja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83E38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7AA41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B7D7F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12.013,27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6A3613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A92E93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2B3B881C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B699E9" w14:textId="474E0F7E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3212 Naknade za prijevoz, za rad na terenu i odvojeni život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3B62DA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4C0B8E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640F91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86.764,94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B6045D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D26A0F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3A12D42A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E158AA" w14:textId="18B54265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3213 Stručno usavršavanje zaposlenika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1337F7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56E023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E17DA6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477,00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E2877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832AEE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330E2A83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6211B7" w14:textId="7CC0EC90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3214 Ostale naknade troškova zaposlenima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4E9E1A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1438C5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291A5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2.142,80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2A23A1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5DCA2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43E0AE52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81C080" w14:textId="10404248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322 Rashodi za materijal i energiju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C2D155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E573C2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96B710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165.813,10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F9B5A2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B9D302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07C81C5F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C5B47" w14:textId="0C3B8246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3221 Uredski materijal i ostali materijalni rashodi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68451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5EE2E1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32A835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15.098,52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6BC441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54EAFF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2468EB28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F512EC" w14:textId="62018128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3222 Materijal i sirovine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3BA3B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C42BF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498701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104.131,92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CD27AC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77EA6B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6D6331B8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1220AA" w14:textId="6EC4D18A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3223 Energija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C105F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8CD498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49B04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31.781,53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BD374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6BCB4E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32AC50F7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775D80" w14:textId="0FA79E8F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3224 Materijal i dijelovi za tekuće i investicijsko održavanje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4AC281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14A1E2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933ED5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5.250,43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E423A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9F8488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245409E8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AADB71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3225 Sitni inventar i auto gume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B12B03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CBC4F7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501E61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8.988,22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AA69C0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A79D8D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38DC22B9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0CE166" w14:textId="2C7A9E81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3227 Službena, radna i zaštitna odjeća i obuća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2FD0E8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6E3FBA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8FAE8B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562,48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27DA86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F6F9DB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50553CD2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2CD6B7" w14:textId="771F8A6F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323 Rashodi za usluge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361D93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1943E1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DE06A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35.148,72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A70C89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98CF4B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6DF57BD2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0B368D" w14:textId="100EC0C9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3231 Usluge telefona, pošte i prijevoza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8BF80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76A24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4FBC59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7.285,99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F970EF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6E490E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6131A407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9C0A0B" w14:textId="21068742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3232 Usluge tekućeg i investicijskog održavanja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3A316B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86C596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570508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5.425,43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68A8D9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22555E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49471B4C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6E992D" w14:textId="127FB736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3233 Usluge promidžbe i informiranja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F73E1F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16FEE3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3CF2DA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127,44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3D6B5E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CA447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611BC0EC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EF14D7" w14:textId="48A449FD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3234 Komunalne usluge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FF5AF7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518DED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BE688F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7.952,49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DF6E9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B634FD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5E37DC47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C516F9" w14:textId="61B751AA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3235 Zakupnine i najamnine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EFDE4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2EC67A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139EF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165,90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984E94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0B6BEA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15729E73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0A7BC4" w14:textId="50C4D008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3236 Zdravstvene i veterinarske usluge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3ADE3A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6C309C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91ACD5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5.159,77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A05140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9F758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76421A7F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354D15" w14:textId="296DA49D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3237 Intelektualne i osobne usluge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B1E62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963D4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E787C4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766,18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05C8C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FB2188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14515416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FF6DE6" w14:textId="6E50EF7A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3238 Računalne usluge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2802D2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010C35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3DFF89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4.856,20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80D9AC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2B9073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18843FCF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38E56" w14:textId="3200105C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3239 Ostale usluge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483183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0583C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65FA7F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3.409,32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47A7FC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04642F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12FB3388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90AEC9" w14:textId="478068C5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329 Ostali nespomenuti rashodi poslovanja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8E0C8A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83FAD4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3A51AF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12.091,53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5C8908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01C54F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7C52D31A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F494FD" w14:textId="2440351F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lastRenderedPageBreak/>
                    <w:t>3292 Premije osiguranja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048AAC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8BD62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96045C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720,03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21A43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631D7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06DC6B69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799006" w14:textId="4E429AC9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3293 Reprezentacija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96E829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5264B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AAC3F7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1.262,36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CC7D4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FAD579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29977626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115690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3294 Članarine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32ADBA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F8320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963234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883,09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10A4A0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883649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59D46ACD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9C4B4D" w14:textId="6C38F785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3295 Pristojbe i naknade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0184FE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7CAB5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0851B4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5.046,37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3338F6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D15A7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07C83F86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23116" w14:textId="607C95BC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3299 Ostali nespomenuti rashodi poslovanja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F1E112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465B4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CE6F06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4.179,68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8621B4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C7DF24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00453CE4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9AA2F" w14:textId="26894735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34 Financijski rashodi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4290E2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BD16B3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312,00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1CC0BE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311,30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1B328F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6F6367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99,78%</w:t>
                  </w:r>
                </w:p>
              </w:tc>
            </w:tr>
            <w:tr w:rsidR="00F47AE1" w:rsidRPr="0040711A" w14:paraId="14DFC5E9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3D9B77" w14:textId="7B7D8408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343 Ostali financijski rashodi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821D9F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B70226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DA5E25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311,30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5A9279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B20E6A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66FE3CC4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84778" w14:textId="193F2790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3431 Bankarske usluge i usluge platnog prometa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9ABFE8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C0DDAF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05311B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311,30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39AAEF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5F604C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670F0EB8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6E2077" w14:textId="26DD6E25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37 Naknade građanima i kućanstvima na temelju osiguranja i druge naknade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E05956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0057E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25.200,00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6F9706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25.136,48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1C2BB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985C05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99,75%</w:t>
                  </w:r>
                </w:p>
              </w:tc>
            </w:tr>
            <w:tr w:rsidR="00F47AE1" w:rsidRPr="0040711A" w14:paraId="2A9F8816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B4A00E" w14:textId="17D74913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372 Ostale naknade građanima i kućanstvima iz proračuna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6D128C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6D806B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E45094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25.136,48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41117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40523B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0C886601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3487FD" w14:textId="391B2A41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3722 Naknade građanima i kućanstvima u naravi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1C024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4E6A4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50F8F2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25.136,48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B2DCF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C94C7E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31CB91E1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DDAF3" w14:textId="6230DCF9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38 Ostali rashodi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858B05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332A7E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1.067,00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1D800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1.066,92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842A1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20F108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99,99%</w:t>
                  </w:r>
                </w:p>
              </w:tc>
            </w:tr>
            <w:tr w:rsidR="00F47AE1" w:rsidRPr="0040711A" w14:paraId="7479DE17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A833A3" w14:textId="079A22BD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381 Tekuće donacije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1D851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648F0B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D056F5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1.066,92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A4FD86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9ED5B8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49B03D97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A0814" w14:textId="3F335DD0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3812 Tekuće donacije u naravi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249425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544814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5E02C1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1.066,92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9C77A2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673AA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553CD9D4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3794DD" w14:textId="30A2D466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4 Rashodi za nabavu nefinancijske imovine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68EF2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69747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20.534,00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D675EE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20.252,47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76FE1B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FF3910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98,63%</w:t>
                  </w:r>
                </w:p>
              </w:tc>
            </w:tr>
            <w:tr w:rsidR="00F47AE1" w:rsidRPr="0040711A" w14:paraId="304A5F87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D6AA4" w14:textId="71BB0CBE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42 Rashodi za nabavu proizvedene dugotrajne imovine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70DA23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D5245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20.534,00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A0DF1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20.252,47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F5872D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4FC522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98,63%</w:t>
                  </w:r>
                </w:p>
              </w:tc>
            </w:tr>
            <w:tr w:rsidR="00F47AE1" w:rsidRPr="0040711A" w14:paraId="2EE38808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F7E08" w14:textId="2FE4BE00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422 Postrojenja i oprema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D2D765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9DF30A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81AD0F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16.197,76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8FDE7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915E82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60AE405E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E65679" w14:textId="7559CBE8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4227 Uređaji, strojevi i oprema za ostale namjene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90494E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591E02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12969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16.197,76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FE968F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E2B7B4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648CD678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E83709" w14:textId="10F06F2E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423 Prijevozna sredstva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4026D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DE53E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C0469A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1.053,33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615BEF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10BF6E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5956D713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0CAF03" w14:textId="72E600C3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4231 Prijevozna sredstva u cestovnom prometu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A2AB68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9679CB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CB1F63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1.053,33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FED1B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B82456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5EE8008C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85D9F4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424 Knjige, umjetnička djela i ostale izložbene vrijednosti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074E9D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FC94F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BAA14F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3.001,38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CB23B9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2649BF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F47AE1" w:rsidRPr="0040711A" w14:paraId="3851DEC8" w14:textId="77777777" w:rsidTr="00F47AE1">
              <w:trPr>
                <w:trHeight w:val="265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69E4BD" w14:textId="7CB83CDC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4241 Knjige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78CD06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5E3906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BE467E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3.001,38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A302CC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F40B3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</w:tbl>
          <w:p w14:paraId="05C7BBB8" w14:textId="16D8D505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93325" w14:textId="49CB49BE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C0035" w14:textId="77777777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0F56E" w14:textId="2284555B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44053" w14:textId="2BC793F8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46EF2" w14:textId="6910277B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1859B5" w:rsidRPr="009F1835" w14:paraId="28FA708F" w14:textId="77777777" w:rsidTr="0040711A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C18C7" w14:textId="58AA2A3B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F445C" w14:textId="2C767D1A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E74DB" w14:textId="77777777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5E414" w14:textId="7AE13335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BAA08" w14:textId="5DE37A8C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6DBC9" w14:textId="1770CFE0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1859B5" w:rsidRPr="009F1835" w14:paraId="005F235F" w14:textId="77777777" w:rsidTr="0040711A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CDCD1" w14:textId="2D79A83B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0009D" w14:textId="2B6A70E4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453D7" w14:textId="77777777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1198C" w14:textId="76E4324B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E03C7" w14:textId="41C9D459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39CB2" w14:textId="132306D5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1859B5" w:rsidRPr="009F1835" w14:paraId="6A18355E" w14:textId="77777777" w:rsidTr="0040711A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CAAA8" w14:textId="5EF5F40C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BE340" w14:textId="77777777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9C58C" w14:textId="77777777" w:rsidR="009F1835" w:rsidRPr="009F1835" w:rsidRDefault="009F1835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C67A6" w14:textId="18285949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11256" w14:textId="05B1FC4A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94E92" w14:textId="2F37AB43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1859B5" w:rsidRPr="009F1835" w14:paraId="359A74B9" w14:textId="77777777" w:rsidTr="0040711A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43A94" w14:textId="3BE37D41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81B08" w14:textId="703BA986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1BE86" w14:textId="77777777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6F27F" w14:textId="3002A333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1C77B" w14:textId="50E3034E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E8F40" w14:textId="1CA068D9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1859B5" w:rsidRPr="009F1835" w14:paraId="1644070E" w14:textId="77777777" w:rsidTr="0040711A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CBB52" w14:textId="65215644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AF1A9" w14:textId="500B8605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5B510" w14:textId="129A99D0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015E4" w14:textId="5A874623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4C3CB" w14:textId="0869B667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7EEE2" w14:textId="2148FEF5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859B5" w:rsidRPr="009F1835" w14:paraId="1FE03662" w14:textId="77777777" w:rsidTr="0040711A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579F6" w14:textId="77777777" w:rsid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2ED50752" w14:textId="77777777" w:rsidR="00713FAE" w:rsidRDefault="00713FAE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</w:p>
          <w:p w14:paraId="57C8D483" w14:textId="77777777" w:rsidR="00F47AE1" w:rsidRDefault="00F47AE1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</w:p>
          <w:p w14:paraId="70D26015" w14:textId="77777777" w:rsidR="00713FAE" w:rsidRDefault="00713FAE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</w:p>
          <w:p w14:paraId="0EA60386" w14:textId="77777777" w:rsidR="00F47AE1" w:rsidRDefault="00F47AE1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</w:p>
          <w:p w14:paraId="20F5D64F" w14:textId="77777777" w:rsidR="00F47AE1" w:rsidRDefault="00F47AE1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</w:p>
          <w:p w14:paraId="5AC9773B" w14:textId="77777777" w:rsidR="00713FAE" w:rsidRDefault="00713FAE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</w:p>
          <w:p w14:paraId="51E5541E" w14:textId="218F15D6" w:rsidR="00BF4B3E" w:rsidRPr="00345C34" w:rsidRDefault="00345C34" w:rsidP="00C46F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345C34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lastRenderedPageBreak/>
              <w:t>1.</w:t>
            </w:r>
            <w:r w:rsidR="00841748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2.2.</w:t>
            </w:r>
            <w:r w:rsidRPr="00345C34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C12378" w:rsidRPr="00345C34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Prihodi i rashodi prema izvorima financiranja</w:t>
            </w:r>
          </w:p>
          <w:p w14:paraId="4EC3ABDD" w14:textId="77777777" w:rsidR="00C12378" w:rsidRDefault="00C12378" w:rsidP="00C46F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14:paraId="5545F5F2" w14:textId="77777777" w:rsidR="00C12378" w:rsidRDefault="00C12378" w:rsidP="00C46F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Za razdoblje od 01.01.2023. do 31.12.2023. godine</w:t>
            </w:r>
          </w:p>
          <w:p w14:paraId="2C28F7C2" w14:textId="77777777" w:rsidR="003113BC" w:rsidRDefault="003113BC" w:rsidP="00C46F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14:paraId="65E0A018" w14:textId="77777777" w:rsidR="003113BC" w:rsidRDefault="003113BC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505"/>
              <w:gridCol w:w="1647"/>
              <w:gridCol w:w="1879"/>
              <w:gridCol w:w="1647"/>
              <w:gridCol w:w="1143"/>
              <w:gridCol w:w="1143"/>
            </w:tblGrid>
            <w:tr w:rsidR="0040711A" w:rsidRPr="0040711A" w14:paraId="5CC0918C" w14:textId="77777777" w:rsidTr="0040711A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1542CE98" w14:textId="77777777" w:rsidR="0040711A" w:rsidRPr="0040711A" w:rsidRDefault="0040711A" w:rsidP="004071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Račun / opis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3EFC6CA5" w14:textId="77777777" w:rsidR="0040711A" w:rsidRPr="0040711A" w:rsidRDefault="0040711A" w:rsidP="004071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Izvršenje 2022. 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74E0BE18" w14:textId="77777777" w:rsidR="0040711A" w:rsidRPr="0040711A" w:rsidRDefault="0040711A" w:rsidP="004071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Izvorni plan 2023. 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6CE99BD9" w14:textId="77777777" w:rsidR="0040711A" w:rsidRPr="0040711A" w:rsidRDefault="0040711A" w:rsidP="004071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Izvršenje 2023. 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590CBADB" w14:textId="77777777" w:rsidR="0040711A" w:rsidRPr="0040711A" w:rsidRDefault="0040711A" w:rsidP="004071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Indeks  3/1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58695A78" w14:textId="77777777" w:rsidR="0040711A" w:rsidRPr="0040711A" w:rsidRDefault="0040711A" w:rsidP="004071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Indeks  3/2</w:t>
                  </w:r>
                </w:p>
              </w:tc>
            </w:tr>
            <w:tr w:rsidR="0040711A" w:rsidRPr="0040711A" w14:paraId="734ABB21" w14:textId="77777777" w:rsidTr="0040711A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629C8D89" w14:textId="77777777" w:rsidR="0040711A" w:rsidRPr="0040711A" w:rsidRDefault="0040711A" w:rsidP="004071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PRIHODI I RASHODI PREMA IZVORIMA FINANCIRANJA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2AEEAD44" w14:textId="77777777" w:rsidR="0040711A" w:rsidRPr="0040711A" w:rsidRDefault="0040711A" w:rsidP="004071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2179E425" w14:textId="77777777" w:rsidR="0040711A" w:rsidRPr="0040711A" w:rsidRDefault="0040711A" w:rsidP="004071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5C321C22" w14:textId="77777777" w:rsidR="0040711A" w:rsidRPr="0040711A" w:rsidRDefault="0040711A" w:rsidP="004071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096E2324" w14:textId="77777777" w:rsidR="0040711A" w:rsidRPr="0040711A" w:rsidRDefault="0040711A" w:rsidP="004071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6146C6EF" w14:textId="77777777" w:rsidR="0040711A" w:rsidRPr="0040711A" w:rsidRDefault="0040711A" w:rsidP="004071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5</w:t>
                  </w:r>
                </w:p>
              </w:tc>
            </w:tr>
            <w:tr w:rsidR="0040711A" w:rsidRPr="0040711A" w14:paraId="542267DE" w14:textId="77777777" w:rsidTr="0040711A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14F9C7F1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  <w:t xml:space="preserve"> SVEUKUPNI PRIHODI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4D783234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172AE3F0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  <w:t>2.254.341,00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63772901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  <w:t>2.197.847,93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6D6CFBC1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090306A4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  <w:t>97,49%</w:t>
                  </w:r>
                </w:p>
              </w:tc>
            </w:tr>
            <w:tr w:rsidR="0040711A" w:rsidRPr="0040711A" w14:paraId="0D1C3717" w14:textId="77777777" w:rsidTr="0040711A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46F78285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Izvor 1. OPĆI PRIHODI I PRIMICI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2056FE1D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445F5130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136.457,00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17BA7030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127.990,62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666E9B6E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3C4DBB6E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93,80%</w:t>
                  </w:r>
                </w:p>
              </w:tc>
            </w:tr>
            <w:tr w:rsidR="0040711A" w:rsidRPr="0040711A" w14:paraId="5900F679" w14:textId="77777777" w:rsidTr="0040711A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0E7A35D1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Izvor 1.1. OPĆI PRIHODI I PRIMICI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016F38D8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22E46680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136.457,00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2F3D008A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127.990,62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524A6A69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0BE13027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93,80%</w:t>
                  </w:r>
                </w:p>
              </w:tc>
            </w:tr>
            <w:tr w:rsidR="0040711A" w:rsidRPr="0040711A" w14:paraId="78F3213E" w14:textId="77777777" w:rsidTr="0040711A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14FC638A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Izvor 1.1.1 Opći prihodi i primici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318367F8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19386FD6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136.457,00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252716F2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127.990,62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67A81036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3582E0B4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93,80%</w:t>
                  </w:r>
                </w:p>
              </w:tc>
            </w:tr>
            <w:tr w:rsidR="0040711A" w:rsidRPr="0040711A" w14:paraId="154CFE84" w14:textId="77777777" w:rsidTr="0040711A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224F4F25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Izvor 3. VLASTITI PRIHODI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579C0F96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190EE2D5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18.328,00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6B20CA16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16.663,76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63F59D7C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60A782AD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90,92%</w:t>
                  </w:r>
                </w:p>
              </w:tc>
            </w:tr>
            <w:tr w:rsidR="0040711A" w:rsidRPr="0040711A" w14:paraId="63B0F512" w14:textId="77777777" w:rsidTr="0040711A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45CCD55C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Izvor 3.1. VLASTITI PRIHODI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5E22083B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5AA2A928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18.328,00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2D4048B0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16.663,76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163143A9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7AFD54F3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90,92%</w:t>
                  </w:r>
                </w:p>
              </w:tc>
            </w:tr>
            <w:tr w:rsidR="0040711A" w:rsidRPr="0040711A" w14:paraId="5D503416" w14:textId="77777777" w:rsidTr="0040711A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16B6AB0D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Izvor 3.1.2 Vlastiti prihodi - proračunski korisnik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78CCE0B2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66D4F7BC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18.328,00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1330D6DE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16.663,76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53AFC7E2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1993FCA6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90,92%</w:t>
                  </w:r>
                </w:p>
              </w:tc>
            </w:tr>
            <w:tr w:rsidR="0040711A" w:rsidRPr="0040711A" w14:paraId="1CE98EFA" w14:textId="77777777" w:rsidTr="0040711A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68EB0A47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Izvor 5. POMOĆI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1BF64147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51330175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2.093.556,00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2CCBB5FA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2.049.381,87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1E1114CF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10580CA3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97,89%</w:t>
                  </w:r>
                </w:p>
              </w:tc>
            </w:tr>
            <w:tr w:rsidR="0040711A" w:rsidRPr="0040711A" w14:paraId="33AB075F" w14:textId="77777777" w:rsidTr="0040711A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471EC46B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Izvor 5.2. DRŽAVNI PRORAČUN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02620E2C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06C66489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2.064.918,00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040B983E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2.021.538,13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4BDC3D08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5B1E4788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97,90%</w:t>
                  </w:r>
                </w:p>
              </w:tc>
            </w:tr>
            <w:tr w:rsidR="0040711A" w:rsidRPr="0040711A" w14:paraId="7A50436B" w14:textId="77777777" w:rsidTr="0040711A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43468E9E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Izvor 5.2.1 Državni proračun - Grad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04DA2BB4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40CB45DF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1.819,00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51445FAA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1.751,79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4716ECED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558C16B7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96,31%</w:t>
                  </w:r>
                </w:p>
              </w:tc>
            </w:tr>
            <w:tr w:rsidR="0040711A" w:rsidRPr="0040711A" w14:paraId="61D92C04" w14:textId="77777777" w:rsidTr="0040711A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74375103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Izvor 5.2.2 Državni proračun - korisnici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092BC4B9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6F269E95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2.063.099,00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379EAEDE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2.019.786,34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5DA7547C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77611114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97,90%</w:t>
                  </w:r>
                </w:p>
              </w:tc>
            </w:tr>
            <w:tr w:rsidR="0040711A" w:rsidRPr="0040711A" w14:paraId="157CDE25" w14:textId="77777777" w:rsidTr="0040711A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637A8A1D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Izvor 5.4. INSTITUCIJE I TIJELA EU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6F11739E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0B8D629F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28.638,00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4A0D28BB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27.843,74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75E065E5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3CB20BD6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97,23%</w:t>
                  </w:r>
                </w:p>
              </w:tc>
            </w:tr>
            <w:tr w:rsidR="0040711A" w:rsidRPr="0040711A" w14:paraId="2B8A1CC4" w14:textId="77777777" w:rsidTr="0040711A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7262FD44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Izvor 5.4.1 Pomoći institucija i tijela EU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5A9B1303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0A3536EE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10.303,00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3688FDF6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9.926,74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4083945E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12DFB75D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96,35%</w:t>
                  </w:r>
                </w:p>
              </w:tc>
            </w:tr>
            <w:tr w:rsidR="0040711A" w:rsidRPr="0040711A" w14:paraId="11858AC2" w14:textId="77777777" w:rsidTr="0040711A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6C7E4499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Izvor 5.4.2 Pomoći institucija i tijela EU - korisnici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431A80AB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6AC6E6ED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18.335,00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6B9604E3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17.917,00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75465CCA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2762B9FB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97,72%</w:t>
                  </w:r>
                </w:p>
              </w:tc>
            </w:tr>
            <w:tr w:rsidR="0040711A" w:rsidRPr="0040711A" w14:paraId="4213A3EE" w14:textId="77777777" w:rsidTr="0040711A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4B28ED46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Izvor 6. DONACIJE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7C236421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74C52DB0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6.000,00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4B76A1C3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3.811,68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2128942D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2CC95020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63,53%</w:t>
                  </w:r>
                </w:p>
              </w:tc>
            </w:tr>
            <w:tr w:rsidR="0040711A" w:rsidRPr="0040711A" w14:paraId="08B9B92A" w14:textId="77777777" w:rsidTr="0040711A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0684C62B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Izvor 6.1. DONACIJE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2EB317E5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27A86F7B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6.000,00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03C97982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3.811,68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63473010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3D0BCCB9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63,53%</w:t>
                  </w:r>
                </w:p>
              </w:tc>
            </w:tr>
            <w:tr w:rsidR="0040711A" w:rsidRPr="0040711A" w14:paraId="65774DE1" w14:textId="77777777" w:rsidTr="0040711A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58013F92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Izvor 6.1.2 Donacije - proračunski korisnik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42F0B089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26B15236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6.000,00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7BAB9E4E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3.811,68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01E51B7D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4D5C3558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63,53%</w:t>
                  </w:r>
                </w:p>
              </w:tc>
            </w:tr>
            <w:tr w:rsidR="0040711A" w:rsidRPr="0040711A" w14:paraId="2AB452A7" w14:textId="77777777" w:rsidTr="0040711A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3AA93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38A38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A3E64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785713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B13816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C18912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40711A" w:rsidRPr="0040711A" w14:paraId="38AE9542" w14:textId="77777777" w:rsidTr="0040711A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62D3A5B6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  <w:t xml:space="preserve"> SVEUKUPNI RASHODI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6C89172C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624AEDF1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  <w:t>2.256.112,00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6F97133C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  <w:t>2.202.611,53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11C9D917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0799F73D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  <w:t>97,63%</w:t>
                  </w:r>
                </w:p>
              </w:tc>
            </w:tr>
            <w:tr w:rsidR="0040711A" w:rsidRPr="0040711A" w14:paraId="0F2A0609" w14:textId="77777777" w:rsidTr="0040711A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1CA0E45D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Izvor 1. OPĆI PRIHODI I PRIMICI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63658007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47ED67E1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54.657,00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79B70CAF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31.965,61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7E6E8FA1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72890FA4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58,48%</w:t>
                  </w:r>
                </w:p>
              </w:tc>
            </w:tr>
            <w:tr w:rsidR="0040711A" w:rsidRPr="0040711A" w14:paraId="0C3EC2F1" w14:textId="77777777" w:rsidTr="0040711A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5A3639B2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Izvor 1.1. OPĆI PRIHODI I PRIMICI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6D5044DE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3B6EE55F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54.657,00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28623692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31.965,61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5AD43656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1A355D08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58,48%</w:t>
                  </w:r>
                </w:p>
              </w:tc>
            </w:tr>
            <w:tr w:rsidR="0040711A" w:rsidRPr="0040711A" w14:paraId="207B6B94" w14:textId="77777777" w:rsidTr="0040711A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5EC95285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Izvor 1.1.1 Opći prihodi i primici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6C6F9048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0EFEFD71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54.657,00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674D7F16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31.965,61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2311612F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6CCA1B04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58,48%</w:t>
                  </w:r>
                </w:p>
              </w:tc>
            </w:tr>
            <w:tr w:rsidR="0040711A" w:rsidRPr="0040711A" w14:paraId="3AEB5371" w14:textId="77777777" w:rsidTr="0040711A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39DAE1CF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Izvor 3. VLASTITI PRIHODI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1D15A242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61FE9292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18.328,00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7E49C7A6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14.366,06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6F7D189F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2D268C91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78,38%</w:t>
                  </w:r>
                </w:p>
              </w:tc>
            </w:tr>
            <w:tr w:rsidR="0040711A" w:rsidRPr="0040711A" w14:paraId="7FD7E570" w14:textId="77777777" w:rsidTr="0040711A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70ECFBCD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Izvor 3.1. VLASTITI PRIHODI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4E84DAF0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59CFFF94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18.328,00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1B8CBB2B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14.366,06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00F51167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54A95969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78,38%</w:t>
                  </w:r>
                </w:p>
              </w:tc>
            </w:tr>
            <w:tr w:rsidR="0040711A" w:rsidRPr="0040711A" w14:paraId="65B5C032" w14:textId="77777777" w:rsidTr="0040711A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1889EC41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Izvor 3.1.2 Vlastiti prihodi - proračunski korisnik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7E39491C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76B6ACA8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18.328,00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590AA20A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14.366,06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07F740F6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3383E35A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78,38%</w:t>
                  </w:r>
                </w:p>
              </w:tc>
            </w:tr>
            <w:tr w:rsidR="0040711A" w:rsidRPr="0040711A" w14:paraId="50E11FD5" w14:textId="77777777" w:rsidTr="0040711A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089B2977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Izvor 5. POMOĆI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439271E7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6428832E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2.175.356,00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013D7ADE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2.150.697,30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2E9F537E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3152CF22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98,87%</w:t>
                  </w:r>
                </w:p>
              </w:tc>
            </w:tr>
            <w:tr w:rsidR="0040711A" w:rsidRPr="0040711A" w14:paraId="5900FF14" w14:textId="77777777" w:rsidTr="0040711A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678F13B8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Izvor 5.2. DRŽAVNI PRORAČUN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76F45A33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173546FF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2.146.718,00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71F170D6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2.122.853,56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5682B787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6FC7A48F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98,89%</w:t>
                  </w:r>
                </w:p>
              </w:tc>
            </w:tr>
            <w:tr w:rsidR="0040711A" w:rsidRPr="0040711A" w14:paraId="39D63211" w14:textId="77777777" w:rsidTr="0040711A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1646894B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Izvor 5.2.1 Državni proračun - Grad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2B0DD2B8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4C59B9D4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1.819,00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293AE3D1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1.751,79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53428EAF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3B68AD89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96,31%</w:t>
                  </w:r>
                </w:p>
              </w:tc>
            </w:tr>
            <w:tr w:rsidR="0040711A" w:rsidRPr="0040711A" w14:paraId="7FE488DB" w14:textId="77777777" w:rsidTr="0040711A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694B9316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lastRenderedPageBreak/>
                    <w:t>Izvor 5.2.2 Državni proračun - korisnici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135695D3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7BBE8987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2.063.099,00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57AF03FE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2.020.036,50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7038FC2A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552ECFBE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97,91%</w:t>
                  </w:r>
                </w:p>
              </w:tc>
            </w:tr>
            <w:tr w:rsidR="0040711A" w:rsidRPr="0040711A" w14:paraId="025EBDA5" w14:textId="77777777" w:rsidTr="0040711A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7D633BC8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 xml:space="preserve">Izvor 5.2.4 Državni proračun - </w:t>
                  </w:r>
                  <w:proofErr w:type="spellStart"/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dec.sredstva</w:t>
                  </w:r>
                  <w:proofErr w:type="spellEnd"/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 xml:space="preserve"> školstvo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62F95C2B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1351C8D9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81.800,00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4392DD89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101.065,27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7449AD27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4984AFF2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123,55%</w:t>
                  </w:r>
                </w:p>
              </w:tc>
            </w:tr>
            <w:tr w:rsidR="0040711A" w:rsidRPr="0040711A" w14:paraId="1D19F84C" w14:textId="77777777" w:rsidTr="0040711A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079E178B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Izvor 5.4. INSTITUCIJE I TIJELA EU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56F9F69B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4E76713D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28.638,00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30E31305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27.843,74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125D62D6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23A5722D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97,23%</w:t>
                  </w:r>
                </w:p>
              </w:tc>
            </w:tr>
            <w:tr w:rsidR="0040711A" w:rsidRPr="0040711A" w14:paraId="57AA017E" w14:textId="77777777" w:rsidTr="0040711A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08574E2F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Izvor 5.4.1 Pomoći institucija i tijela EU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185F1AFF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139B6BC7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10.303,00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4C825B2D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9.926,74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3FF0BBCB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11612A8C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96,35%</w:t>
                  </w:r>
                </w:p>
              </w:tc>
            </w:tr>
            <w:tr w:rsidR="0040711A" w:rsidRPr="0040711A" w14:paraId="12111DDB" w14:textId="77777777" w:rsidTr="0040711A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3008274D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Izvor 5.4.2 Pomoći institucija i tijela EU - korisnici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43D8775C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6267DBB6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18.335,00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4564C669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17.917,00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461C7632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4CEF4404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97,72%</w:t>
                  </w:r>
                </w:p>
              </w:tc>
            </w:tr>
            <w:tr w:rsidR="0040711A" w:rsidRPr="0040711A" w14:paraId="57416F3F" w14:textId="77777777" w:rsidTr="0040711A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35B30A37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Izvor 6. DONACIJE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309BA78A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5E771E84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6.000,00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1ADA8F70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3.811,68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4DBD7B3A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792D3B1B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63,53%</w:t>
                  </w:r>
                </w:p>
              </w:tc>
            </w:tr>
            <w:tr w:rsidR="0040711A" w:rsidRPr="0040711A" w14:paraId="2151A509" w14:textId="77777777" w:rsidTr="0040711A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0455A838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Izvor 6.1. DONACIJE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65232822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10C79E9C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6.000,00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551C7C9F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3.811,68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40E5B136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46CC291A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63,53%</w:t>
                  </w:r>
                </w:p>
              </w:tc>
            </w:tr>
            <w:tr w:rsidR="0040711A" w:rsidRPr="0040711A" w14:paraId="0B71EFA1" w14:textId="77777777" w:rsidTr="0040711A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543514E6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Izvor 6.1.2 Donacije - proračunski korisnik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136F921A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3A449B0E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6.000,00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74FD36FC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3.811,68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313345A7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1703E4EC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63,53%</w:t>
                  </w:r>
                </w:p>
              </w:tc>
            </w:tr>
            <w:tr w:rsidR="0040711A" w:rsidRPr="0040711A" w14:paraId="72868925" w14:textId="77777777" w:rsidTr="0040711A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2D02A850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Izvor 9. VIŠAK IZ PRETHODNIH RAZDOBLJA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59FFE113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486A71D7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1.771,00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369E1A13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1.770,88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6A5B23FD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45809FFD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99,99%</w:t>
                  </w:r>
                </w:p>
              </w:tc>
            </w:tr>
            <w:tr w:rsidR="0040711A" w:rsidRPr="0040711A" w14:paraId="55509E82" w14:textId="77777777" w:rsidTr="0040711A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2E484149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Izvor 9.1. VIŠAK IZ PRETHODNIH GODINA - PROR.KORISNICI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24FD5647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25E3A395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1.771,00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2907510A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1.770,88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18BCB22B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1A0BE4AE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99,99%</w:t>
                  </w:r>
                </w:p>
              </w:tc>
            </w:tr>
            <w:tr w:rsidR="0040711A" w:rsidRPr="0040711A" w14:paraId="3568A0EC" w14:textId="77777777" w:rsidTr="0040711A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10DDBD04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Izvor 9.1.5 Višak iz prethodne godine - OŠ Garešnica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25A9097D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60DDBB61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1.771,00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356A5034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1.770,88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4A93BE2C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14:paraId="20F36B50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99,99%</w:t>
                  </w:r>
                </w:p>
              </w:tc>
            </w:tr>
            <w:tr w:rsidR="0040711A" w:rsidRPr="0040711A" w14:paraId="6509FFA0" w14:textId="77777777" w:rsidTr="0040711A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F254CE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C18DC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428856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7531F7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0AD20E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2950B4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14:paraId="1A33C82F" w14:textId="77777777" w:rsidR="003113BC" w:rsidRDefault="003113BC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14:paraId="687556FE" w14:textId="77777777" w:rsidR="003113BC" w:rsidRDefault="003113BC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14:paraId="5AF8E60D" w14:textId="77777777" w:rsidR="003113BC" w:rsidRDefault="003113BC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14:paraId="4ACF6B58" w14:textId="675C0D87" w:rsidR="003113BC" w:rsidRPr="00C12378" w:rsidRDefault="003113BC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5DED8" w14:textId="29D873CF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2D013" w14:textId="77777777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526F2" w14:textId="4267F96C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3D4AE" w14:textId="0CD78076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2DB9F" w14:textId="4AF7507C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1859B5" w:rsidRPr="009F1835" w14:paraId="6D323255" w14:textId="77777777" w:rsidTr="0040711A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DAEFB" w14:textId="1EDB3C6C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E91F9" w14:textId="35A8914E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2DF89" w14:textId="77777777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6820E" w14:textId="4F52C6FC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83386" w14:textId="23F6D4E9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D4664" w14:textId="79BEB370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01449D" w:rsidRPr="009F1835" w14:paraId="67B4C71B" w14:textId="77777777" w:rsidTr="0040711A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265C8" w14:textId="77777777" w:rsidR="0001449D" w:rsidRPr="009F1835" w:rsidRDefault="0001449D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77A0F" w14:textId="77777777" w:rsidR="0001449D" w:rsidRPr="009F1835" w:rsidRDefault="0001449D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2411A" w14:textId="77777777" w:rsidR="0001449D" w:rsidRPr="009F1835" w:rsidRDefault="0001449D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8705D" w14:textId="77777777" w:rsidR="0001449D" w:rsidRPr="009F1835" w:rsidRDefault="0001449D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B8B89" w14:textId="77777777" w:rsidR="0001449D" w:rsidRPr="009F1835" w:rsidRDefault="0001449D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4C20A" w14:textId="77777777" w:rsidR="0001449D" w:rsidRPr="009F1835" w:rsidRDefault="0001449D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01449D" w:rsidRPr="009F1835" w14:paraId="72B78081" w14:textId="77777777" w:rsidTr="0040711A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112C2" w14:textId="77777777" w:rsidR="0001449D" w:rsidRPr="009F1835" w:rsidRDefault="0001449D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962B0" w14:textId="77777777" w:rsidR="0001449D" w:rsidRPr="009F1835" w:rsidRDefault="0001449D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BB4FB" w14:textId="77777777" w:rsidR="0001449D" w:rsidRPr="009F1835" w:rsidRDefault="0001449D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AE01F" w14:textId="77777777" w:rsidR="0001449D" w:rsidRPr="009F1835" w:rsidRDefault="0001449D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4BE0F" w14:textId="77777777" w:rsidR="0001449D" w:rsidRPr="009F1835" w:rsidRDefault="0001449D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C1326" w14:textId="77777777" w:rsidR="0001449D" w:rsidRPr="009F1835" w:rsidRDefault="0001449D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01449D" w:rsidRPr="009F1835" w14:paraId="5812CB08" w14:textId="77777777" w:rsidTr="0040711A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34DFE" w14:textId="77777777" w:rsidR="0001449D" w:rsidRDefault="0001449D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43ED640D" w14:textId="77777777" w:rsidR="0009089A" w:rsidRDefault="0009089A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58076EB4" w14:textId="77777777" w:rsidR="0009089A" w:rsidRDefault="0009089A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11AAC2EA" w14:textId="77777777" w:rsidR="0009089A" w:rsidRDefault="0009089A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417EE57A" w14:textId="77777777" w:rsidR="0009089A" w:rsidRDefault="0009089A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0AF8DF61" w14:textId="77777777" w:rsidR="0009089A" w:rsidRDefault="0009089A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3CD38090" w14:textId="77777777" w:rsidR="0009089A" w:rsidRDefault="0009089A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79FF6545" w14:textId="77777777" w:rsidR="0009089A" w:rsidRDefault="0009089A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18B331EC" w14:textId="77777777" w:rsidR="0009089A" w:rsidRDefault="0009089A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60C982EE" w14:textId="77777777" w:rsidR="0009089A" w:rsidRDefault="0009089A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71533833" w14:textId="77777777" w:rsidR="0009089A" w:rsidRDefault="0009089A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3586FA0F" w14:textId="77777777" w:rsidR="0009089A" w:rsidRDefault="0009089A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5CC8963D" w14:textId="77777777" w:rsidR="0009089A" w:rsidRDefault="0009089A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14638ADA" w14:textId="77777777" w:rsidR="0009089A" w:rsidRDefault="0009089A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2949A380" w14:textId="77777777" w:rsidR="0009089A" w:rsidRDefault="0009089A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41FA3CF3" w14:textId="77777777" w:rsidR="00F47AE1" w:rsidRPr="009F1835" w:rsidRDefault="00F47AE1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11F07" w14:textId="77777777" w:rsidR="0001449D" w:rsidRPr="009F1835" w:rsidRDefault="0001449D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026D6" w14:textId="77777777" w:rsidR="0001449D" w:rsidRPr="009F1835" w:rsidRDefault="0001449D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EAAAB" w14:textId="77777777" w:rsidR="0001449D" w:rsidRPr="009F1835" w:rsidRDefault="0001449D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6548A" w14:textId="77777777" w:rsidR="0001449D" w:rsidRPr="009F1835" w:rsidRDefault="0001449D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5F3B2" w14:textId="77777777" w:rsidR="0001449D" w:rsidRPr="009F1835" w:rsidRDefault="0001449D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1859B5" w:rsidRPr="009F1835" w14:paraId="0206463D" w14:textId="77777777" w:rsidTr="0040711A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1D613" w14:textId="245F611E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E5FA8" w14:textId="089A5945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8982E" w14:textId="77777777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308FB" w14:textId="308565AD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C7114" w14:textId="1A830C8E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AFBAE" w14:textId="5BA9C1F7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1859B5" w:rsidRPr="009F1835" w14:paraId="6D63F9A9" w14:textId="77777777" w:rsidTr="0040711A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ABED9" w14:textId="77777777" w:rsidR="003066D1" w:rsidRDefault="003066D1" w:rsidP="0040711A">
            <w:pPr>
              <w:tabs>
                <w:tab w:val="left" w:pos="4695"/>
                <w:tab w:val="center" w:pos="7001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hr-HR"/>
              </w:rPr>
            </w:pPr>
          </w:p>
          <w:p w14:paraId="263866B2" w14:textId="1301F588" w:rsidR="003066D1" w:rsidRPr="002B5C64" w:rsidRDefault="003066D1" w:rsidP="00C46F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2B5C64">
              <w:rPr>
                <w:rFonts w:ascii="Arial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1.</w:t>
            </w:r>
            <w:r w:rsidR="009A5CF2">
              <w:rPr>
                <w:rFonts w:ascii="Arial" w:hAnsi="Arial" w:cs="Arial"/>
                <w:b/>
                <w:color w:val="000000"/>
                <w:sz w:val="24"/>
                <w:szCs w:val="24"/>
                <w:lang w:eastAsia="hr-HR"/>
              </w:rPr>
              <w:t>2</w:t>
            </w:r>
            <w:r w:rsidRPr="002B5C64">
              <w:rPr>
                <w:rFonts w:ascii="Arial" w:hAnsi="Arial" w:cs="Arial"/>
                <w:b/>
                <w:color w:val="000000"/>
                <w:sz w:val="24"/>
                <w:szCs w:val="24"/>
                <w:lang w:eastAsia="hr-HR"/>
              </w:rPr>
              <w:t>.</w:t>
            </w:r>
            <w:r w:rsidR="009A5CF2">
              <w:rPr>
                <w:rFonts w:ascii="Arial" w:hAnsi="Arial" w:cs="Arial"/>
                <w:b/>
                <w:color w:val="000000"/>
                <w:sz w:val="24"/>
                <w:szCs w:val="24"/>
                <w:lang w:eastAsia="hr-HR"/>
              </w:rPr>
              <w:t>3.</w:t>
            </w:r>
            <w:r w:rsidRPr="002B5C64">
              <w:rPr>
                <w:rFonts w:ascii="Arial" w:hAnsi="Arial" w:cs="Arial"/>
                <w:b/>
                <w:color w:val="000000"/>
                <w:sz w:val="24"/>
                <w:szCs w:val="24"/>
                <w:lang w:eastAsia="hr-HR"/>
              </w:rPr>
              <w:t xml:space="preserve">  Rashodi prema funkcijskoj klasifikaciji</w:t>
            </w:r>
          </w:p>
          <w:p w14:paraId="35C32CA0" w14:textId="77777777" w:rsidR="002B5C64" w:rsidRDefault="002B5C64" w:rsidP="00C46F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14:paraId="0EB83E43" w14:textId="77777777" w:rsidR="002B5C64" w:rsidRDefault="002B5C64" w:rsidP="00C46F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Za razdoblje od 01.01.2023. do 31.12.2023. godine</w:t>
            </w:r>
          </w:p>
          <w:p w14:paraId="43566A15" w14:textId="77777777" w:rsidR="003066D1" w:rsidRDefault="003066D1" w:rsidP="0040711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13850" w:type="dxa"/>
              <w:jc w:val="center"/>
              <w:tblLook w:val="04A0" w:firstRow="1" w:lastRow="0" w:firstColumn="1" w:lastColumn="0" w:noHBand="0" w:noVBand="1"/>
            </w:tblPr>
            <w:tblGrid>
              <w:gridCol w:w="5735"/>
              <w:gridCol w:w="1602"/>
              <w:gridCol w:w="1833"/>
              <w:gridCol w:w="1602"/>
              <w:gridCol w:w="1096"/>
              <w:gridCol w:w="1096"/>
            </w:tblGrid>
            <w:tr w:rsidR="0009089A" w:rsidRPr="0040711A" w14:paraId="5C623D20" w14:textId="77777777" w:rsidTr="0009089A">
              <w:trPr>
                <w:trHeight w:val="269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14:paraId="67A68E6F" w14:textId="77777777" w:rsidR="0040711A" w:rsidRPr="0040711A" w:rsidRDefault="0040711A" w:rsidP="004071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Račun/Opis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14:paraId="7BB33321" w14:textId="77777777" w:rsidR="0040711A" w:rsidRPr="0040711A" w:rsidRDefault="0040711A" w:rsidP="004071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Izvršenje 2022 €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14:paraId="24BD6E07" w14:textId="77777777" w:rsidR="0040711A" w:rsidRPr="0040711A" w:rsidRDefault="0040711A" w:rsidP="004071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Izvorni plan 2023 €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14:paraId="1232D1E5" w14:textId="77777777" w:rsidR="0040711A" w:rsidRPr="0040711A" w:rsidRDefault="0040711A" w:rsidP="004071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Izvršenje 2023 €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14:paraId="42AAFF61" w14:textId="77777777" w:rsidR="0040711A" w:rsidRPr="0040711A" w:rsidRDefault="0040711A" w:rsidP="004071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Indeks 3/1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14:paraId="35140721" w14:textId="77777777" w:rsidR="0040711A" w:rsidRPr="0040711A" w:rsidRDefault="0040711A" w:rsidP="004071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Indeks 3/2</w:t>
                  </w:r>
                </w:p>
              </w:tc>
            </w:tr>
            <w:tr w:rsidR="0009089A" w:rsidRPr="0040711A" w14:paraId="12CC0853" w14:textId="77777777" w:rsidTr="0009089A">
              <w:trPr>
                <w:trHeight w:val="269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14:paraId="3FCFE10C" w14:textId="77777777" w:rsidR="0040711A" w:rsidRPr="0040711A" w:rsidRDefault="0040711A" w:rsidP="004071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14:paraId="24F95CD5" w14:textId="77777777" w:rsidR="0040711A" w:rsidRPr="0040711A" w:rsidRDefault="0040711A" w:rsidP="004071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14:paraId="0D6B1832" w14:textId="77777777" w:rsidR="0040711A" w:rsidRPr="0040711A" w:rsidRDefault="0040711A" w:rsidP="004071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14:paraId="608BEE35" w14:textId="77777777" w:rsidR="0040711A" w:rsidRPr="0040711A" w:rsidRDefault="0040711A" w:rsidP="004071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14:paraId="733E625C" w14:textId="77777777" w:rsidR="0040711A" w:rsidRPr="0040711A" w:rsidRDefault="0040711A" w:rsidP="004071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14:paraId="3B504DF8" w14:textId="77777777" w:rsidR="0040711A" w:rsidRPr="0040711A" w:rsidRDefault="0040711A" w:rsidP="004071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5</w:t>
                  </w:r>
                </w:p>
              </w:tc>
            </w:tr>
            <w:tr w:rsidR="0009089A" w:rsidRPr="0040711A" w14:paraId="278E1A11" w14:textId="77777777" w:rsidTr="0009089A">
              <w:trPr>
                <w:trHeight w:val="269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38681AD7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Funkcijska klasifikacija  SVEUKUPNI RASHODI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0CDA76E9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34108317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2.256.112,00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7881D6E7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2.202.611,53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281E5C0C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2FBE0337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97,63%</w:t>
                  </w:r>
                </w:p>
              </w:tc>
            </w:tr>
            <w:tr w:rsidR="0009089A" w:rsidRPr="0040711A" w14:paraId="4C16B6EF" w14:textId="77777777" w:rsidTr="0009089A">
              <w:trPr>
                <w:trHeight w:val="269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9CCFF"/>
                  <w:noWrap/>
                  <w:vAlign w:val="bottom"/>
                  <w:hideMark/>
                </w:tcPr>
                <w:p w14:paraId="118AC3CA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Funkcijska klasifikacija 09 Obrazovanje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9CCFF"/>
                  <w:noWrap/>
                  <w:vAlign w:val="bottom"/>
                  <w:hideMark/>
                </w:tcPr>
                <w:p w14:paraId="1385C60C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9CCFF"/>
                  <w:noWrap/>
                  <w:vAlign w:val="bottom"/>
                  <w:hideMark/>
                </w:tcPr>
                <w:p w14:paraId="0E0B6D8A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2.256.112,00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9CCFF"/>
                  <w:noWrap/>
                  <w:vAlign w:val="bottom"/>
                  <w:hideMark/>
                </w:tcPr>
                <w:p w14:paraId="6775FCEE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2.202.611,53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9CCFF"/>
                  <w:noWrap/>
                  <w:vAlign w:val="bottom"/>
                  <w:hideMark/>
                </w:tcPr>
                <w:p w14:paraId="34752056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9CCFF"/>
                  <w:noWrap/>
                  <w:vAlign w:val="bottom"/>
                  <w:hideMark/>
                </w:tcPr>
                <w:p w14:paraId="0C664FF9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97,63%</w:t>
                  </w:r>
                </w:p>
              </w:tc>
            </w:tr>
            <w:tr w:rsidR="0009089A" w:rsidRPr="0040711A" w14:paraId="5A611A9E" w14:textId="77777777" w:rsidTr="0009089A">
              <w:trPr>
                <w:trHeight w:val="269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33CCCC"/>
                  <w:noWrap/>
                  <w:vAlign w:val="bottom"/>
                  <w:hideMark/>
                </w:tcPr>
                <w:p w14:paraId="1E74C080" w14:textId="77777777" w:rsidR="0040711A" w:rsidRPr="0040711A" w:rsidRDefault="0040711A" w:rsidP="004071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Funkcijska klasifikacija 091 Predškolsko i osnovno obrazovanje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33CCCC"/>
                  <w:noWrap/>
                  <w:vAlign w:val="bottom"/>
                  <w:hideMark/>
                </w:tcPr>
                <w:p w14:paraId="0009A188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33CCCC"/>
                  <w:noWrap/>
                  <w:vAlign w:val="bottom"/>
                  <w:hideMark/>
                </w:tcPr>
                <w:p w14:paraId="0C868646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2.256.112,00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33CCCC"/>
                  <w:noWrap/>
                  <w:vAlign w:val="bottom"/>
                  <w:hideMark/>
                </w:tcPr>
                <w:p w14:paraId="1FD9D0D3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2.202.611,53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33CCCC"/>
                  <w:noWrap/>
                  <w:vAlign w:val="bottom"/>
                  <w:hideMark/>
                </w:tcPr>
                <w:p w14:paraId="022CE1ED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33CCCC"/>
                  <w:noWrap/>
                  <w:vAlign w:val="bottom"/>
                  <w:hideMark/>
                </w:tcPr>
                <w:p w14:paraId="0EE3F600" w14:textId="77777777" w:rsidR="0040711A" w:rsidRPr="0040711A" w:rsidRDefault="0040711A" w:rsidP="004071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0711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97,63%</w:t>
                  </w:r>
                </w:p>
              </w:tc>
            </w:tr>
          </w:tbl>
          <w:p w14:paraId="720B7123" w14:textId="77777777" w:rsidR="003066D1" w:rsidRDefault="003066D1" w:rsidP="0040711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hr-HR"/>
              </w:rPr>
            </w:pPr>
          </w:p>
          <w:p w14:paraId="0427628E" w14:textId="77777777" w:rsidR="00017F92" w:rsidRPr="00EA2C29" w:rsidRDefault="00017F92" w:rsidP="0040711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hr-HR"/>
              </w:rPr>
            </w:pPr>
          </w:p>
          <w:p w14:paraId="45C147BC" w14:textId="3D47B08B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9CC45" w14:textId="1C3BCD82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E3CCB" w14:textId="7BB9A6AA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F2DC3" w14:textId="178245BA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B489D" w14:textId="59BBDFB7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D8067" w14:textId="7A1D8673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859B5" w:rsidRPr="009F1835" w14:paraId="7E446D34" w14:textId="77777777" w:rsidTr="0040711A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DA72E" w14:textId="6A9A377B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36103" w14:textId="4AC7B5E7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D66A4" w14:textId="3AF10132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75E0C" w14:textId="32211A0C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FBC3D" w14:textId="51A7EC4D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54DBE" w14:textId="024CA6CE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859B5" w:rsidRPr="009F1835" w14:paraId="472EBC7E" w14:textId="77777777" w:rsidTr="0040711A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E5569" w14:textId="4B6970A4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F57D1" w14:textId="56E28732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8A905" w14:textId="6DA465CE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8F238" w14:textId="0F5C93F2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125A2" w14:textId="34E34F0E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DA924" w14:textId="394F5E59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859B5" w:rsidRPr="009F1835" w14:paraId="5506537C" w14:textId="77777777" w:rsidTr="0040711A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215B2" w14:textId="1702E9E8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bookmarkStart w:id="0" w:name="_Hlk15983512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74B65" w14:textId="472CA6AC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43396" w14:textId="77777777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BEFC8" w14:textId="22A8F786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ADA3E" w14:textId="22794DC3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36FD6" w14:textId="27131780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1859B5" w:rsidRPr="009F1835" w14:paraId="3D103F6D" w14:textId="77777777" w:rsidTr="0040711A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71D43" w14:textId="6955C148" w:rsidR="009F1835" w:rsidRDefault="00605EC2" w:rsidP="00A147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2B5C64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1.</w:t>
            </w:r>
            <w:r w:rsidR="00E351B3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3.</w:t>
            </w:r>
            <w:r w:rsidR="001263D3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1.</w:t>
            </w:r>
            <w:r w:rsidRPr="002B5C64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 xml:space="preserve"> Račun financiranja prema ekonomskoj klasifikaciji</w:t>
            </w:r>
          </w:p>
          <w:p w14:paraId="23176B51" w14:textId="77777777" w:rsidR="002B5C64" w:rsidRPr="002B5C64" w:rsidRDefault="002B5C64" w:rsidP="00A147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</w:p>
          <w:p w14:paraId="3F6B41FE" w14:textId="77777777" w:rsidR="0068657D" w:rsidRDefault="0068657D" w:rsidP="00A147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5C64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Za razdoblje od 01.01.2023. do 31.12.2023.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97"/>
              <w:gridCol w:w="1571"/>
              <w:gridCol w:w="1992"/>
              <w:gridCol w:w="1738"/>
              <w:gridCol w:w="1183"/>
              <w:gridCol w:w="1183"/>
            </w:tblGrid>
            <w:tr w:rsidR="00FE2D05" w:rsidRPr="00FE2D05" w14:paraId="1EBA6C15" w14:textId="77777777" w:rsidTr="00FE2D05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1794AAA9" w14:textId="77777777" w:rsidR="00FE2D05" w:rsidRPr="00FE2D05" w:rsidRDefault="00FE2D05" w:rsidP="00FE2D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FE2D0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Racun</w:t>
                  </w:r>
                  <w:proofErr w:type="spellEnd"/>
                  <w:r w:rsidRPr="00FE2D0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/Opis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3D63D5FC" w14:textId="77777777" w:rsidR="00FE2D05" w:rsidRPr="00FE2D05" w:rsidRDefault="00FE2D05" w:rsidP="00FE2D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FE2D0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Izvršenje 2022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3A14EE0D" w14:textId="77777777" w:rsidR="00FE2D05" w:rsidRPr="00FE2D05" w:rsidRDefault="00FE2D05" w:rsidP="00FE2D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FE2D0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Izvorni plan 2023 €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4FFD49D4" w14:textId="77777777" w:rsidR="00FE2D05" w:rsidRPr="00FE2D05" w:rsidRDefault="00FE2D05" w:rsidP="00FE2D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FE2D0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Izvršenje 2023 €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43063371" w14:textId="77777777" w:rsidR="00FE2D05" w:rsidRPr="00FE2D05" w:rsidRDefault="00FE2D05" w:rsidP="00FE2D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FE2D0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Indeks 3/1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5FF03F54" w14:textId="77777777" w:rsidR="00FE2D05" w:rsidRPr="00FE2D05" w:rsidRDefault="00FE2D05" w:rsidP="00FE2D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FE2D0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Indeks 3/2</w:t>
                  </w:r>
                </w:p>
              </w:tc>
            </w:tr>
            <w:tr w:rsidR="00FE2D05" w:rsidRPr="00FE2D05" w14:paraId="6847D8DD" w14:textId="77777777" w:rsidTr="00FE2D05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70D1310D" w14:textId="77777777" w:rsidR="00FE2D05" w:rsidRPr="00FE2D05" w:rsidRDefault="00FE2D05" w:rsidP="00FE2D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  <w:r w:rsidRPr="00FE2D05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  <w:t>B. RAČUN ZADUŽIVANJA FINANCIRANJA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2453AE3E" w14:textId="77777777" w:rsidR="00FE2D05" w:rsidRPr="00FE2D05" w:rsidRDefault="00FE2D05" w:rsidP="00FE2D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  <w:r w:rsidRPr="00FE2D05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3950575E" w14:textId="77777777" w:rsidR="00FE2D05" w:rsidRPr="00FE2D05" w:rsidRDefault="00FE2D05" w:rsidP="00FE2D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  <w:r w:rsidRPr="00FE2D05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5A3478A1" w14:textId="77777777" w:rsidR="00FE2D05" w:rsidRPr="00FE2D05" w:rsidRDefault="00FE2D05" w:rsidP="00FE2D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  <w:r w:rsidRPr="00FE2D05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2A049D45" w14:textId="77777777" w:rsidR="00FE2D05" w:rsidRPr="00FE2D05" w:rsidRDefault="00FE2D05" w:rsidP="00FE2D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  <w:r w:rsidRPr="00FE2D05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0E121F4F" w14:textId="77777777" w:rsidR="00FE2D05" w:rsidRPr="00FE2D05" w:rsidRDefault="00FE2D05" w:rsidP="00FE2D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  <w:r w:rsidRPr="00FE2D05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  <w:t>5</w:t>
                  </w:r>
                </w:p>
              </w:tc>
            </w:tr>
            <w:tr w:rsidR="00FE2D05" w:rsidRPr="00FE2D05" w14:paraId="1932451B" w14:textId="77777777" w:rsidTr="00FE2D05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275774D9" w14:textId="77777777" w:rsidR="00FE2D05" w:rsidRPr="00FE2D05" w:rsidRDefault="00FE2D05" w:rsidP="00FE2D0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  <w:r w:rsidRPr="00FE2D05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  <w:t xml:space="preserve"> NETO FINANCIRANJE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612A6526" w14:textId="77777777" w:rsidR="00FE2D05" w:rsidRPr="00FE2D05" w:rsidRDefault="00FE2D05" w:rsidP="00FE2D0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  <w:r w:rsidRPr="00FE2D05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3277451D" w14:textId="77777777" w:rsidR="00FE2D05" w:rsidRPr="00FE2D05" w:rsidRDefault="00FE2D05" w:rsidP="00FE2D0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  <w:r w:rsidRPr="00FE2D05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  <w:t>1.771,00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24A32900" w14:textId="77777777" w:rsidR="00FE2D05" w:rsidRPr="00FE2D05" w:rsidRDefault="00FE2D05" w:rsidP="00FE2D0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  <w:r w:rsidRPr="00FE2D05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2268B912" w14:textId="77777777" w:rsidR="00FE2D05" w:rsidRPr="00FE2D05" w:rsidRDefault="00FE2D05" w:rsidP="00FE2D0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  <w:r w:rsidRPr="00FE2D05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2690B9BD" w14:textId="77777777" w:rsidR="00FE2D05" w:rsidRPr="00FE2D05" w:rsidRDefault="00FE2D05" w:rsidP="00FE2D0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  <w:r w:rsidRPr="00FE2D05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FE2D05" w:rsidRPr="00FE2D05" w14:paraId="16F3AB0D" w14:textId="77777777" w:rsidTr="00FE2D05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91CE30" w14:textId="77777777" w:rsidR="00FE2D05" w:rsidRPr="00FE2D05" w:rsidRDefault="00FE2D05" w:rsidP="00FE2D0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9FD5D0" w14:textId="77777777" w:rsidR="00FE2D05" w:rsidRPr="00FE2D05" w:rsidRDefault="00FE2D05" w:rsidP="00FE2D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DA6641" w14:textId="77777777" w:rsidR="00FE2D05" w:rsidRPr="00FE2D05" w:rsidRDefault="00FE2D05" w:rsidP="00FE2D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918F5A" w14:textId="77777777" w:rsidR="00FE2D05" w:rsidRPr="00FE2D05" w:rsidRDefault="00FE2D05" w:rsidP="00FE2D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52AF7" w14:textId="77777777" w:rsidR="00FE2D05" w:rsidRPr="00FE2D05" w:rsidRDefault="00FE2D05" w:rsidP="00FE2D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E1336" w14:textId="77777777" w:rsidR="00FE2D05" w:rsidRPr="00FE2D05" w:rsidRDefault="00FE2D05" w:rsidP="00FE2D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E2D05" w:rsidRPr="00FE2D05" w14:paraId="649605AF" w14:textId="77777777" w:rsidTr="00FE2D05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F5E08D" w14:textId="77777777" w:rsidR="00FE2D05" w:rsidRPr="00FE2D05" w:rsidRDefault="00FE2D05" w:rsidP="00FE2D0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FE2D0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 xml:space="preserve">9 Vlastiti izvori                                                                                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B44380" w14:textId="77777777" w:rsidR="00FE2D05" w:rsidRPr="00FE2D05" w:rsidRDefault="00FE2D05" w:rsidP="00FE2D0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8E3F28" w14:textId="77777777" w:rsidR="00FE2D05" w:rsidRPr="00FE2D05" w:rsidRDefault="00FE2D05" w:rsidP="00FE2D0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FE2D0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1.771,00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9C5D3" w14:textId="77777777" w:rsidR="00FE2D05" w:rsidRPr="00FE2D05" w:rsidRDefault="00FE2D05" w:rsidP="00FE2D0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C6FB2E" w14:textId="77777777" w:rsidR="00FE2D05" w:rsidRPr="00FE2D05" w:rsidRDefault="00FE2D05" w:rsidP="00FE2D0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9EF125" w14:textId="77777777" w:rsidR="00FE2D05" w:rsidRPr="00FE2D05" w:rsidRDefault="00FE2D05" w:rsidP="00FE2D0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E2D05" w:rsidRPr="00FE2D05" w14:paraId="7CE01843" w14:textId="77777777" w:rsidTr="00FE2D05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650455" w14:textId="77777777" w:rsidR="00FE2D05" w:rsidRPr="00FE2D05" w:rsidRDefault="00FE2D05" w:rsidP="00FE2D0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FE2D0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 xml:space="preserve">92 Rezultat poslovanja                                                                            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641116" w14:textId="77777777" w:rsidR="00FE2D05" w:rsidRPr="00FE2D05" w:rsidRDefault="00FE2D05" w:rsidP="00FE2D0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F05B86" w14:textId="77777777" w:rsidR="00FE2D05" w:rsidRPr="00FE2D05" w:rsidRDefault="00FE2D05" w:rsidP="00FE2D0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FE2D0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1.771,00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3F80C" w14:textId="77777777" w:rsidR="00FE2D05" w:rsidRPr="00FE2D05" w:rsidRDefault="00FE2D05" w:rsidP="00FE2D0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FD26E" w14:textId="77777777" w:rsidR="00FE2D05" w:rsidRPr="00FE2D05" w:rsidRDefault="00FE2D05" w:rsidP="00FE2D0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B8995C" w14:textId="77777777" w:rsidR="00FE2D05" w:rsidRPr="00FE2D05" w:rsidRDefault="00FE2D05" w:rsidP="00FE2D0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E2D05" w:rsidRPr="00FE2D05" w14:paraId="29B8B689" w14:textId="77777777" w:rsidTr="00FE2D05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3C0FCB3C" w14:textId="77777777" w:rsidR="00FE2D05" w:rsidRPr="00FE2D05" w:rsidRDefault="00FE2D05" w:rsidP="00FE2D0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  <w:r w:rsidRPr="00FE2D05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  <w:t xml:space="preserve"> KORIŠTENJE SREDSTAVA IZ PRETHODNIH GODINA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44F4913E" w14:textId="77777777" w:rsidR="00FE2D05" w:rsidRPr="00FE2D05" w:rsidRDefault="00FE2D05" w:rsidP="00FE2D0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  <w:r w:rsidRPr="00FE2D05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7574C632" w14:textId="77777777" w:rsidR="00FE2D05" w:rsidRPr="00FE2D05" w:rsidRDefault="00FE2D05" w:rsidP="00FE2D0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  <w:r w:rsidRPr="00FE2D05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  <w:t>1.771,00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1BE461BB" w14:textId="77777777" w:rsidR="00FE2D05" w:rsidRPr="00FE2D05" w:rsidRDefault="00FE2D05" w:rsidP="00FE2D0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  <w:r w:rsidRPr="00FE2D05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2385F643" w14:textId="77777777" w:rsidR="00FE2D05" w:rsidRPr="00FE2D05" w:rsidRDefault="00FE2D05" w:rsidP="00FE2D0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  <w:r w:rsidRPr="00FE2D05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65452C13" w14:textId="77777777" w:rsidR="00FE2D05" w:rsidRPr="00FE2D05" w:rsidRDefault="00FE2D05" w:rsidP="00FE2D0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  <w:r w:rsidRPr="00FE2D05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</w:tbl>
          <w:p w14:paraId="6EBDA7DE" w14:textId="3FE4583D" w:rsidR="00FE2D05" w:rsidRPr="002B5C64" w:rsidRDefault="00FE2D05" w:rsidP="004071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DD818" w14:textId="233F3F43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81903" w14:textId="77777777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47183" w14:textId="77777777" w:rsidR="009F1835" w:rsidRPr="009F1835" w:rsidRDefault="009F1835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39E3B" w14:textId="15C78B7F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A2FFF" w14:textId="65D41F74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bookmarkEnd w:id="0"/>
      <w:tr w:rsidR="001859B5" w:rsidRPr="009F1835" w14:paraId="7C0CB0BA" w14:textId="77777777" w:rsidTr="0040711A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E00C1" w14:textId="2A6AB88E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FC2E2" w14:textId="77777777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4189D" w14:textId="77777777" w:rsidR="009F1835" w:rsidRPr="009F1835" w:rsidRDefault="009F1835" w:rsidP="00407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127EF" w14:textId="4C9C7CC0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5E10D" w14:textId="6416753C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798C6" w14:textId="31F0205E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1859B5" w:rsidRPr="009F1835" w14:paraId="606400F2" w14:textId="77777777" w:rsidTr="0040711A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4D6BF" w14:textId="5CDCEA9C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F0494" w14:textId="0D85B0D1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F552B" w14:textId="77777777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31D54" w14:textId="3C57C0A1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8D6A9" w14:textId="62825084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0059D" w14:textId="5B36DB27" w:rsidR="009F1835" w:rsidRPr="009F1835" w:rsidRDefault="009F1835" w:rsidP="004071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</w:tbl>
    <w:p w14:paraId="2C945A25" w14:textId="7544823F" w:rsidR="004A5A8B" w:rsidRDefault="004A5A8B" w:rsidP="009F1835">
      <w:pPr>
        <w:pStyle w:val="Odlomakpopisa"/>
        <w:ind w:left="0"/>
        <w:rPr>
          <w:rFonts w:asciiTheme="minorHAnsi" w:hAnsiTheme="minorHAnsi" w:cstheme="minorHAnsi"/>
          <w:b/>
          <w:color w:val="000000"/>
        </w:rPr>
      </w:pPr>
    </w:p>
    <w:p w14:paraId="0D8A4FB3" w14:textId="3754FBDB" w:rsidR="0061405E" w:rsidRDefault="0061405E" w:rsidP="009F1835">
      <w:pPr>
        <w:pStyle w:val="Odlomakpopisa"/>
        <w:ind w:left="0"/>
        <w:rPr>
          <w:rFonts w:asciiTheme="minorHAnsi" w:hAnsiTheme="minorHAnsi" w:cstheme="minorHAnsi"/>
          <w:b/>
          <w:color w:val="000000"/>
        </w:rPr>
      </w:pPr>
    </w:p>
    <w:p w14:paraId="524ECE69" w14:textId="3451616B" w:rsidR="00297CC9" w:rsidRDefault="00297CC9" w:rsidP="009F1835">
      <w:pPr>
        <w:pStyle w:val="Odlomakpopisa"/>
        <w:ind w:left="0"/>
        <w:rPr>
          <w:rFonts w:asciiTheme="minorHAnsi" w:hAnsiTheme="minorHAnsi" w:cstheme="minorHAnsi"/>
          <w:b/>
          <w:color w:val="000000"/>
        </w:rPr>
      </w:pPr>
    </w:p>
    <w:p w14:paraId="31132674" w14:textId="7E2BD9F2" w:rsidR="00297CC9" w:rsidRDefault="00444F64" w:rsidP="009F1835">
      <w:pPr>
        <w:pStyle w:val="Odlomakpopisa"/>
        <w:ind w:left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</w:t>
      </w:r>
    </w:p>
    <w:p w14:paraId="0826E1B1" w14:textId="77777777" w:rsidR="00A14779" w:rsidRDefault="00A14779" w:rsidP="009F1835">
      <w:pPr>
        <w:pStyle w:val="Odlomakpopisa"/>
        <w:ind w:left="0"/>
        <w:rPr>
          <w:rFonts w:asciiTheme="minorHAnsi" w:hAnsiTheme="minorHAnsi" w:cstheme="minorHAnsi"/>
          <w:b/>
          <w:color w:val="000000"/>
        </w:rPr>
      </w:pPr>
    </w:p>
    <w:p w14:paraId="54340CAC" w14:textId="77777777" w:rsidR="00FE2D05" w:rsidRDefault="00FE2D05" w:rsidP="009F1835">
      <w:pPr>
        <w:pStyle w:val="Odlomakpopisa"/>
        <w:ind w:left="0"/>
        <w:rPr>
          <w:rFonts w:asciiTheme="minorHAnsi" w:hAnsiTheme="minorHAnsi" w:cstheme="minorHAnsi"/>
          <w:b/>
          <w:color w:val="000000"/>
        </w:rPr>
      </w:pPr>
    </w:p>
    <w:p w14:paraId="03576125" w14:textId="12CE0F95" w:rsidR="00444F64" w:rsidRDefault="00A84EE9" w:rsidP="00444F64">
      <w:pPr>
        <w:pStyle w:val="Odlomakpopisa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</w:t>
      </w:r>
      <w:r w:rsidR="001263D3">
        <w:rPr>
          <w:rFonts w:ascii="Arial" w:hAnsi="Arial" w:cs="Arial"/>
          <w:b/>
          <w:color w:val="000000"/>
        </w:rPr>
        <w:t>3.2.</w:t>
      </w:r>
      <w:r>
        <w:rPr>
          <w:rFonts w:ascii="Arial" w:hAnsi="Arial" w:cs="Arial"/>
          <w:b/>
          <w:color w:val="000000"/>
        </w:rPr>
        <w:t xml:space="preserve"> Račun financiranja prema izvorima</w:t>
      </w:r>
      <w:r w:rsidR="00FE2D49">
        <w:rPr>
          <w:rFonts w:ascii="Arial" w:hAnsi="Arial" w:cs="Arial"/>
          <w:b/>
          <w:color w:val="000000"/>
        </w:rPr>
        <w:t xml:space="preserve"> financiranja</w:t>
      </w:r>
    </w:p>
    <w:p w14:paraId="0B5509D3" w14:textId="77777777" w:rsidR="00764D47" w:rsidRDefault="00764D47" w:rsidP="00444F64">
      <w:pPr>
        <w:pStyle w:val="Odlomakpopisa"/>
        <w:ind w:left="0"/>
        <w:jc w:val="center"/>
        <w:rPr>
          <w:rFonts w:ascii="Arial" w:hAnsi="Arial" w:cs="Arial"/>
          <w:b/>
          <w:color w:val="000000"/>
        </w:rPr>
      </w:pPr>
    </w:p>
    <w:p w14:paraId="73281A00" w14:textId="4788761B" w:rsidR="00764D47" w:rsidRDefault="00764D47" w:rsidP="00444F64">
      <w:pPr>
        <w:pStyle w:val="Odlomakpopisa"/>
        <w:ind w:left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64D47">
        <w:rPr>
          <w:rFonts w:ascii="Arial" w:hAnsi="Arial" w:cs="Arial"/>
          <w:b/>
          <w:color w:val="000000"/>
          <w:sz w:val="20"/>
          <w:szCs w:val="20"/>
        </w:rPr>
        <w:t>Za razdoblje od 01.01.2023. do 31.12.2023.</w:t>
      </w:r>
    </w:p>
    <w:p w14:paraId="79BDC3DB" w14:textId="77777777" w:rsidR="0009089A" w:rsidRDefault="0009089A" w:rsidP="00444F64">
      <w:pPr>
        <w:pStyle w:val="Odlomakpopisa"/>
        <w:ind w:left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8"/>
        <w:gridCol w:w="1795"/>
        <w:gridCol w:w="2051"/>
        <w:gridCol w:w="1795"/>
        <w:gridCol w:w="1239"/>
        <w:gridCol w:w="1239"/>
      </w:tblGrid>
      <w:tr w:rsidR="00FE2D05" w:rsidRPr="00FE2D05" w14:paraId="5759626E" w14:textId="77777777" w:rsidTr="00FE2D05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1C4D07" w14:textId="77777777" w:rsidR="00FE2D05" w:rsidRPr="00FE2D05" w:rsidRDefault="00FE2D05" w:rsidP="00FE2D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E2D0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C3FF27" w14:textId="77777777" w:rsidR="00FE2D05" w:rsidRPr="00FE2D05" w:rsidRDefault="00FE2D05" w:rsidP="00FE2D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E2D0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Izvršenje 2022.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204D83" w14:textId="77777777" w:rsidR="00FE2D05" w:rsidRPr="00FE2D05" w:rsidRDefault="00FE2D05" w:rsidP="00FE2D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E2D0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Izvorni plan 2023.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4A8C55" w14:textId="77777777" w:rsidR="00FE2D05" w:rsidRPr="00FE2D05" w:rsidRDefault="00FE2D05" w:rsidP="00FE2D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E2D0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Izvršenje 2023.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F66862" w14:textId="77777777" w:rsidR="00FE2D05" w:rsidRPr="00FE2D05" w:rsidRDefault="00FE2D05" w:rsidP="00FE2D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E2D0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0F205D" w14:textId="77777777" w:rsidR="00FE2D05" w:rsidRPr="00FE2D05" w:rsidRDefault="00FE2D05" w:rsidP="00FE2D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E2D0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FE2D05" w:rsidRPr="00FE2D05" w14:paraId="24713B38" w14:textId="77777777" w:rsidTr="00FE2D05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21FD37" w14:textId="77777777" w:rsidR="00FE2D05" w:rsidRPr="00FE2D05" w:rsidRDefault="00FE2D05" w:rsidP="00FE2D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E2D0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B. RAČUN ZADUŽIVANJA FINANCIRANJA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FBE600" w14:textId="77777777" w:rsidR="00FE2D05" w:rsidRPr="00FE2D05" w:rsidRDefault="00FE2D05" w:rsidP="00FE2D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E2D0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B33843" w14:textId="77777777" w:rsidR="00FE2D05" w:rsidRPr="00FE2D05" w:rsidRDefault="00FE2D05" w:rsidP="00FE2D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E2D0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8226E6" w14:textId="77777777" w:rsidR="00FE2D05" w:rsidRPr="00FE2D05" w:rsidRDefault="00FE2D05" w:rsidP="00FE2D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E2D0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1B3E1E" w14:textId="77777777" w:rsidR="00FE2D05" w:rsidRPr="00FE2D05" w:rsidRDefault="00FE2D05" w:rsidP="00FE2D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E2D0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2AC26B" w14:textId="77777777" w:rsidR="00FE2D05" w:rsidRPr="00FE2D05" w:rsidRDefault="00FE2D05" w:rsidP="00FE2D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E2D0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FE2D05" w:rsidRPr="00FE2D05" w14:paraId="437CE194" w14:textId="77777777" w:rsidTr="00FE2D05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6F99D99" w14:textId="77777777" w:rsidR="00FE2D05" w:rsidRPr="00FE2D05" w:rsidRDefault="00FE2D05" w:rsidP="00FE2D05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E2D0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KORIŠTENJE SREDSTAVA IZ PRETHODNIH GODINA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11FD0A5" w14:textId="77777777" w:rsidR="00FE2D05" w:rsidRPr="00FE2D05" w:rsidRDefault="00FE2D05" w:rsidP="00FE2D0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E2D0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C943085" w14:textId="77777777" w:rsidR="00FE2D05" w:rsidRPr="00FE2D05" w:rsidRDefault="00FE2D05" w:rsidP="00FE2D0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E2D0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1.771,00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C162B57" w14:textId="77777777" w:rsidR="00FE2D05" w:rsidRPr="00FE2D05" w:rsidRDefault="00FE2D05" w:rsidP="00FE2D0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E2D0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9899E52" w14:textId="77777777" w:rsidR="00FE2D05" w:rsidRPr="00FE2D05" w:rsidRDefault="00FE2D05" w:rsidP="00FE2D0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E2D0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F8B710E" w14:textId="77777777" w:rsidR="00FE2D05" w:rsidRPr="00FE2D05" w:rsidRDefault="00FE2D05" w:rsidP="00FE2D0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E2D0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FE2D05" w:rsidRPr="00FE2D05" w14:paraId="21DEBCFE" w14:textId="77777777" w:rsidTr="00FE2D05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E6CD26" w14:textId="77777777" w:rsidR="00FE2D05" w:rsidRPr="00FE2D05" w:rsidRDefault="00FE2D05" w:rsidP="00FE2D0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E2D0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9. VIŠAK IZ PRETHODNIH RAZDOBLJA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58F13D" w14:textId="77777777" w:rsidR="00FE2D05" w:rsidRPr="00FE2D05" w:rsidRDefault="00FE2D05" w:rsidP="00FE2D0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E2D0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2B811C" w14:textId="77777777" w:rsidR="00FE2D05" w:rsidRPr="00FE2D05" w:rsidRDefault="00FE2D05" w:rsidP="00FE2D0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E2D0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1.771,00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04E1BE" w14:textId="77777777" w:rsidR="00FE2D05" w:rsidRPr="00FE2D05" w:rsidRDefault="00FE2D05" w:rsidP="00FE2D0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E2D0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55164F" w14:textId="77777777" w:rsidR="00FE2D05" w:rsidRPr="00FE2D05" w:rsidRDefault="00FE2D05" w:rsidP="00FE2D0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E2D0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4597D5" w14:textId="77777777" w:rsidR="00FE2D05" w:rsidRPr="00FE2D05" w:rsidRDefault="00FE2D05" w:rsidP="00FE2D0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E2D0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FE2D05" w:rsidRPr="00FE2D05" w14:paraId="650B3F25" w14:textId="77777777" w:rsidTr="00FE2D05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05246D" w14:textId="77777777" w:rsidR="00FE2D05" w:rsidRPr="00FE2D05" w:rsidRDefault="00FE2D05" w:rsidP="00FE2D0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E2D0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9.1. VIŠAK IZ PRETHODNIH GODINA - PROR.KORISNICI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5366BA" w14:textId="77777777" w:rsidR="00FE2D05" w:rsidRPr="00FE2D05" w:rsidRDefault="00FE2D05" w:rsidP="00FE2D0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E2D0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98D498" w14:textId="77777777" w:rsidR="00FE2D05" w:rsidRPr="00FE2D05" w:rsidRDefault="00FE2D05" w:rsidP="00FE2D0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E2D0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1.771,00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20C20E" w14:textId="77777777" w:rsidR="00FE2D05" w:rsidRPr="00FE2D05" w:rsidRDefault="00FE2D05" w:rsidP="00FE2D0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E2D0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C17039" w14:textId="77777777" w:rsidR="00FE2D05" w:rsidRPr="00FE2D05" w:rsidRDefault="00FE2D05" w:rsidP="00FE2D0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E2D0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FB0C15" w14:textId="77777777" w:rsidR="00FE2D05" w:rsidRPr="00FE2D05" w:rsidRDefault="00FE2D05" w:rsidP="00FE2D0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E2D0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FE2D05" w:rsidRPr="00FE2D05" w14:paraId="4A9438AF" w14:textId="77777777" w:rsidTr="00FE2D05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824D26" w14:textId="77777777" w:rsidR="00FE2D05" w:rsidRPr="00FE2D05" w:rsidRDefault="00FE2D05" w:rsidP="00FE2D0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E2D0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9.1.5 Višak iz prethodne godine - OŠ Garešnica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D69B6C" w14:textId="77777777" w:rsidR="00FE2D05" w:rsidRPr="00FE2D05" w:rsidRDefault="00FE2D05" w:rsidP="00FE2D0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E2D0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15585F" w14:textId="77777777" w:rsidR="00FE2D05" w:rsidRPr="00FE2D05" w:rsidRDefault="00FE2D05" w:rsidP="00FE2D0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E2D0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1.771,00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EC220E" w14:textId="77777777" w:rsidR="00FE2D05" w:rsidRPr="00FE2D05" w:rsidRDefault="00FE2D05" w:rsidP="00FE2D0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E2D0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E3625A" w14:textId="77777777" w:rsidR="00FE2D05" w:rsidRPr="00FE2D05" w:rsidRDefault="00FE2D05" w:rsidP="00FE2D0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E2D0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410CC9" w14:textId="77777777" w:rsidR="00FE2D05" w:rsidRPr="00FE2D05" w:rsidRDefault="00FE2D05" w:rsidP="00FE2D0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E2D0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</w:tbl>
    <w:p w14:paraId="18FF23A5" w14:textId="0F073DD2" w:rsidR="00297CC9" w:rsidRDefault="00297CC9" w:rsidP="009F1835">
      <w:pPr>
        <w:pStyle w:val="Odlomakpopisa"/>
        <w:ind w:left="0"/>
        <w:rPr>
          <w:rFonts w:asciiTheme="minorHAnsi" w:hAnsiTheme="minorHAnsi" w:cstheme="minorHAnsi"/>
          <w:b/>
          <w:color w:val="000000"/>
        </w:rPr>
      </w:pPr>
    </w:p>
    <w:p w14:paraId="23DB62B4" w14:textId="32665CD2" w:rsidR="00297CC9" w:rsidRDefault="00297CC9" w:rsidP="009F1835">
      <w:pPr>
        <w:pStyle w:val="Odlomakpopisa"/>
        <w:ind w:left="0"/>
        <w:rPr>
          <w:rFonts w:asciiTheme="minorHAnsi" w:hAnsiTheme="minorHAnsi" w:cstheme="minorHAnsi"/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</w:tblGrid>
      <w:tr w:rsidR="00764D47" w:rsidRPr="0061405E" w14:paraId="162C5F3D" w14:textId="77777777" w:rsidTr="0067584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18D7BF" w14:textId="39F52259" w:rsidR="00764D47" w:rsidRPr="0061405E" w:rsidRDefault="00764D47" w:rsidP="0007069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0834C2" w14:textId="77777777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19708F" w14:textId="171F2CD9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00044D" w14:textId="6C8A9D77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B1DC76" w14:textId="611E9017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635038" w14:textId="162D40E0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093468" w14:textId="086B4470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764D47" w:rsidRPr="0061405E" w14:paraId="125ECD88" w14:textId="77777777" w:rsidTr="0067584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4E5863" w14:textId="19A33297" w:rsidR="00764D47" w:rsidRPr="0061405E" w:rsidRDefault="00764D47" w:rsidP="0061405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37D868" w14:textId="77777777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A1B4C4" w14:textId="4E1ADA5C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A0A522" w14:textId="15408320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EBF2B3" w14:textId="527608E8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CAA5B3" w14:textId="308AA8AF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43BAB8" w14:textId="0C338BE6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64D47" w:rsidRPr="0061405E" w14:paraId="32ADB4F3" w14:textId="77777777" w:rsidTr="0067584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FFA615" w14:textId="500C5E02" w:rsidR="00764D47" w:rsidRPr="0061405E" w:rsidRDefault="00764D47" w:rsidP="006140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FAB4E6" w14:textId="77777777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935F00" w14:textId="3D9EE66D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B06802" w14:textId="52F64B18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92C281" w14:textId="24AE6F73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3CCE65" w14:textId="2236A040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C6B22A" w14:textId="24D88A19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764D47" w:rsidRPr="0061405E" w14:paraId="2A31AF6A" w14:textId="77777777" w:rsidTr="0067584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D6F09D" w14:textId="667F52BB" w:rsidR="00764D47" w:rsidRPr="0061405E" w:rsidRDefault="00764D47" w:rsidP="0061405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A11F12" w14:textId="77777777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D978D3" w14:textId="0966B7AD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FCFC8F" w14:textId="3E3E6644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71E5D8" w14:textId="59416EA4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8B7EE3" w14:textId="5D09BA6A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8FA821" w14:textId="2B8D0BC8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64D47" w:rsidRPr="0061405E" w14:paraId="0EA2B12C" w14:textId="77777777" w:rsidTr="0067584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233C8A" w14:textId="228CF1F1" w:rsidR="00764D47" w:rsidRPr="0061405E" w:rsidRDefault="00764D47" w:rsidP="0061405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26F2C8" w14:textId="77777777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D65B78" w14:textId="18FC4670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7FBC32" w14:textId="23A983C5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63AD72" w14:textId="394EEB66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01BBBD" w14:textId="32065DF2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8C2CE3" w14:textId="3D95AC78" w:rsidR="00764D47" w:rsidRPr="0061405E" w:rsidRDefault="00764D47" w:rsidP="005B18A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64D47" w:rsidRPr="0061405E" w14:paraId="7E58A14B" w14:textId="77777777" w:rsidTr="0067584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739B03" w14:textId="25EE1E64" w:rsidR="00764D47" w:rsidRPr="0061405E" w:rsidRDefault="00764D47" w:rsidP="0061405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D1206C" w14:textId="77777777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0E7424" w14:textId="56C6A5BD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8A6FCE" w14:textId="5DEA8B78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F00CE0" w14:textId="5D4FEAAB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2ABB73" w14:textId="3DCF85E1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660EF4" w14:textId="142A8225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64D47" w:rsidRPr="0061405E" w14:paraId="27AB4B9E" w14:textId="77777777" w:rsidTr="0067584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30C7CA" w14:textId="6CBE1A49" w:rsidR="00764D47" w:rsidRPr="0061405E" w:rsidRDefault="00764D47" w:rsidP="0061405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D6CB3AB" w14:textId="77777777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6D4881" w14:textId="1B6F0703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835894" w14:textId="5106633E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E9E5D3" w14:textId="445D7961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22DB78" w14:textId="0A71A1EB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4A6256" w14:textId="3B10B161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64D47" w:rsidRPr="0061405E" w14:paraId="094BC41A" w14:textId="77777777" w:rsidTr="0067584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80C616" w14:textId="0DCF05EF" w:rsidR="00764D47" w:rsidRPr="0061405E" w:rsidRDefault="00764D47" w:rsidP="0061405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BA2B69" w14:textId="77777777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3C2416" w14:textId="06E1C11D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4167FD" w14:textId="0758C383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3F2276" w14:textId="7A96D43B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19E2A2" w14:textId="1C155CD3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182B8F" w14:textId="5403425A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64D47" w:rsidRPr="0061405E" w14:paraId="070B9287" w14:textId="77777777" w:rsidTr="0067584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AEC0EF" w14:textId="45200FF5" w:rsidR="00764D47" w:rsidRPr="0061405E" w:rsidRDefault="00764D47" w:rsidP="0061405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CAEAF5" w14:textId="77777777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2C6019" w14:textId="35DD6726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6F7FAB" w14:textId="0DF07C57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817BC4" w14:textId="0DB5AE68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75F454" w14:textId="1B1B9F29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2B2A8A" w14:textId="5A236662" w:rsidR="00764D47" w:rsidRPr="0061405E" w:rsidRDefault="00764D47" w:rsidP="006140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667C8FB4" w14:textId="53A1D1FE" w:rsidR="00AA5596" w:rsidRDefault="00AA5596" w:rsidP="00E35E70">
      <w:pPr>
        <w:tabs>
          <w:tab w:val="left" w:pos="4695"/>
          <w:tab w:val="center" w:pos="7001"/>
        </w:tabs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  <w:lang w:eastAsia="hr-HR"/>
        </w:rPr>
      </w:pPr>
    </w:p>
    <w:p w14:paraId="7F4574B6" w14:textId="77777777" w:rsidR="00C46F0B" w:rsidRDefault="00C46F0B" w:rsidP="00A14779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  <w:lang w:eastAsia="hr-HR"/>
        </w:rPr>
      </w:pPr>
    </w:p>
    <w:p w14:paraId="3176128B" w14:textId="77777777" w:rsidR="00C46F0B" w:rsidRDefault="00C46F0B" w:rsidP="00830A63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eastAsia="hr-HR"/>
        </w:rPr>
      </w:pPr>
    </w:p>
    <w:p w14:paraId="55A779DC" w14:textId="77777777" w:rsidR="00A14779" w:rsidRDefault="00A14779" w:rsidP="00830A63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eastAsia="hr-HR"/>
        </w:rPr>
      </w:pPr>
    </w:p>
    <w:p w14:paraId="76627915" w14:textId="77777777" w:rsidR="00A14779" w:rsidRDefault="00A14779" w:rsidP="00830A63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eastAsia="hr-HR"/>
        </w:rPr>
      </w:pPr>
    </w:p>
    <w:p w14:paraId="428496AE" w14:textId="77777777" w:rsidR="00A14779" w:rsidRDefault="00A14779" w:rsidP="00830A63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eastAsia="hr-HR"/>
        </w:rPr>
      </w:pPr>
    </w:p>
    <w:p w14:paraId="4818ADCC" w14:textId="77777777" w:rsidR="00A14779" w:rsidRDefault="00A14779" w:rsidP="00830A63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eastAsia="hr-HR"/>
        </w:rPr>
      </w:pPr>
    </w:p>
    <w:p w14:paraId="523CAC96" w14:textId="77777777" w:rsidR="00A14779" w:rsidRDefault="00A14779" w:rsidP="00830A63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eastAsia="hr-HR"/>
        </w:rPr>
      </w:pPr>
    </w:p>
    <w:p w14:paraId="6725919E" w14:textId="77777777" w:rsidR="00A14779" w:rsidRDefault="00A14779" w:rsidP="00830A63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eastAsia="hr-HR"/>
        </w:rPr>
      </w:pPr>
    </w:p>
    <w:p w14:paraId="4C60C947" w14:textId="77777777" w:rsidR="00A14779" w:rsidRDefault="00A14779" w:rsidP="00830A63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eastAsia="hr-HR"/>
        </w:rPr>
      </w:pPr>
    </w:p>
    <w:p w14:paraId="195D6907" w14:textId="2F92FE1F" w:rsidR="00796FE7" w:rsidRDefault="00796FE7" w:rsidP="0009089A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  <w:lang w:eastAsia="hr-HR"/>
        </w:rPr>
      </w:pPr>
    </w:p>
    <w:p w14:paraId="61970EBB" w14:textId="77777777" w:rsidR="0009089A" w:rsidRDefault="0009089A" w:rsidP="0009089A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  <w:lang w:eastAsia="hr-HR"/>
        </w:rPr>
      </w:pPr>
    </w:p>
    <w:p w14:paraId="2374A2EE" w14:textId="77777777" w:rsidR="0009089A" w:rsidRDefault="0009089A" w:rsidP="0009089A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  <w:lang w:eastAsia="hr-HR"/>
        </w:rPr>
      </w:pPr>
    </w:p>
    <w:p w14:paraId="5B851D83" w14:textId="42A03C8E" w:rsidR="00E16B04" w:rsidRPr="00043757" w:rsidRDefault="00043757" w:rsidP="00043757">
      <w:pPr>
        <w:ind w:left="36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</w:t>
      </w:r>
      <w:r w:rsidR="002A6B61">
        <w:rPr>
          <w:rFonts w:ascii="Arial" w:hAnsi="Arial" w:cs="Arial"/>
          <w:b/>
          <w:color w:val="000000"/>
        </w:rPr>
        <w:t xml:space="preserve"> </w:t>
      </w:r>
      <w:r w:rsidR="00B21CC2" w:rsidRPr="00043757">
        <w:rPr>
          <w:rFonts w:ascii="Arial" w:hAnsi="Arial" w:cs="Arial"/>
          <w:b/>
          <w:color w:val="000000"/>
        </w:rPr>
        <w:t>POSEB</w:t>
      </w:r>
      <w:r w:rsidR="00F2742E" w:rsidRPr="00043757">
        <w:rPr>
          <w:rFonts w:ascii="Arial" w:hAnsi="Arial" w:cs="Arial"/>
          <w:b/>
          <w:color w:val="000000"/>
        </w:rPr>
        <w:t xml:space="preserve">NI DIO </w:t>
      </w:r>
    </w:p>
    <w:p w14:paraId="4076A2CD" w14:textId="77777777" w:rsidR="006B1CC1" w:rsidRDefault="006B1CC1" w:rsidP="00BC3810">
      <w:pPr>
        <w:spacing w:after="0" w:line="240" w:lineRule="auto"/>
        <w:rPr>
          <w:rFonts w:asciiTheme="minorHAnsi" w:hAnsiTheme="minorHAnsi" w:cstheme="minorHAnsi"/>
          <w:color w:val="000000"/>
          <w:lang w:eastAsia="hr-HR"/>
        </w:rPr>
      </w:pPr>
    </w:p>
    <w:p w14:paraId="639843F4" w14:textId="5DB84B06" w:rsidR="00B21CC2" w:rsidRDefault="00F2742E" w:rsidP="00134B6F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eastAsia="hr-HR"/>
        </w:rPr>
      </w:pPr>
      <w:bookmarkStart w:id="1" w:name="_Hlk130878396"/>
      <w:r>
        <w:rPr>
          <w:rFonts w:asciiTheme="minorHAnsi" w:hAnsiTheme="minorHAnsi" w:cstheme="minorHAnsi"/>
          <w:b/>
          <w:color w:val="000000"/>
          <w:sz w:val="24"/>
          <w:szCs w:val="24"/>
          <w:lang w:eastAsia="hr-HR"/>
        </w:rPr>
        <w:t>Izvještaj o izvršenju financijskog plana za 202</w:t>
      </w:r>
      <w:r w:rsidR="00314C1B">
        <w:rPr>
          <w:rFonts w:asciiTheme="minorHAnsi" w:hAnsiTheme="minorHAnsi" w:cstheme="minorHAnsi"/>
          <w:b/>
          <w:color w:val="000000"/>
          <w:sz w:val="24"/>
          <w:szCs w:val="24"/>
          <w:lang w:eastAsia="hr-HR"/>
        </w:rPr>
        <w:t>3</w:t>
      </w:r>
      <w:r>
        <w:rPr>
          <w:rFonts w:asciiTheme="minorHAnsi" w:hAnsiTheme="minorHAnsi" w:cstheme="minorHAnsi"/>
          <w:b/>
          <w:color w:val="000000"/>
          <w:sz w:val="24"/>
          <w:szCs w:val="24"/>
          <w:lang w:eastAsia="hr-HR"/>
        </w:rPr>
        <w:t xml:space="preserve">. godinu po </w:t>
      </w:r>
      <w:r w:rsidR="002B6F06">
        <w:rPr>
          <w:rFonts w:asciiTheme="minorHAnsi" w:hAnsiTheme="minorHAnsi" w:cstheme="minorHAnsi"/>
          <w:b/>
          <w:color w:val="000000"/>
          <w:sz w:val="24"/>
          <w:szCs w:val="24"/>
          <w:lang w:eastAsia="hr-HR"/>
        </w:rPr>
        <w:t>izvorima financiranja i ekonomskoj klasifikaciji</w:t>
      </w:r>
      <w:r w:rsidR="008C7D2B">
        <w:rPr>
          <w:rFonts w:asciiTheme="minorHAnsi" w:hAnsiTheme="minorHAnsi" w:cstheme="minorHAnsi"/>
          <w:b/>
          <w:color w:val="000000"/>
          <w:sz w:val="24"/>
          <w:szCs w:val="24"/>
          <w:lang w:eastAsia="hr-HR"/>
        </w:rPr>
        <w:t xml:space="preserve"> raspoređenih u programe koji se sastoje od aktivnosti i projekata</w:t>
      </w:r>
    </w:p>
    <w:p w14:paraId="6D19DD72" w14:textId="77777777" w:rsidR="00BD7C7C" w:rsidRDefault="00BD7C7C" w:rsidP="00BD7C7C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  <w:lang w:eastAsia="hr-HR"/>
        </w:rPr>
      </w:pPr>
    </w:p>
    <w:p w14:paraId="572FEB7A" w14:textId="77777777" w:rsidR="00BD7C7C" w:rsidRDefault="00BD7C7C" w:rsidP="00BD7C7C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"/>
        <w:gridCol w:w="1673"/>
        <w:gridCol w:w="7916"/>
        <w:gridCol w:w="1792"/>
        <w:gridCol w:w="1566"/>
        <w:gridCol w:w="1073"/>
      </w:tblGrid>
      <w:tr w:rsidR="00C46F0B" w:rsidRPr="00C46F0B" w14:paraId="04FD1C71" w14:textId="77777777" w:rsidTr="00D24313">
        <w:trPr>
          <w:trHeight w:val="34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23BCE" w14:textId="181C5AB7" w:rsidR="00C46F0B" w:rsidRPr="00D24313" w:rsidRDefault="00C46F0B" w:rsidP="00C46F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eastAsia="hr-HR"/>
              </w:rPr>
            </w:pPr>
          </w:p>
        </w:tc>
      </w:tr>
      <w:tr w:rsidR="00C46F0B" w:rsidRPr="00C46F0B" w14:paraId="04B4611C" w14:textId="77777777" w:rsidTr="00D24313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8BCEA" w14:textId="12D0CE96" w:rsidR="00C46F0B" w:rsidRPr="00D24313" w:rsidRDefault="00C46F0B" w:rsidP="00C46F0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C46F0B" w:rsidRPr="00C46F0B" w14:paraId="2FDCFC75" w14:textId="77777777" w:rsidTr="00C46F0B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2BA4" w14:textId="77777777" w:rsidR="00C46F0B" w:rsidRPr="00C46F0B" w:rsidRDefault="00C46F0B" w:rsidP="00C46F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41D90D9D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BCDF217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6CD312D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Organizacijska klasifikacija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8E4567F" w14:textId="77777777" w:rsidR="00C46F0B" w:rsidRPr="00C46F0B" w:rsidRDefault="00C46F0B" w:rsidP="00C46F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AD74D74" w14:textId="77777777" w:rsidR="00C46F0B" w:rsidRPr="00C46F0B" w:rsidRDefault="00C46F0B" w:rsidP="00C46F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0C35D24" w14:textId="77777777" w:rsidR="00C46F0B" w:rsidRPr="00C46F0B" w:rsidRDefault="00C46F0B" w:rsidP="00C46F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46F0B" w:rsidRPr="00C46F0B" w14:paraId="5DDBB11A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EEC0A37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050B315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2F2CA9A" w14:textId="77777777" w:rsidR="00C46F0B" w:rsidRPr="00C46F0B" w:rsidRDefault="00C46F0B" w:rsidP="00C46F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753429A" w14:textId="77777777" w:rsidR="00C46F0B" w:rsidRPr="00C46F0B" w:rsidRDefault="00C46F0B" w:rsidP="00C46F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02EC8D7" w14:textId="77777777" w:rsidR="00C46F0B" w:rsidRPr="00C46F0B" w:rsidRDefault="00C46F0B" w:rsidP="00C46F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46F0B" w:rsidRPr="00C46F0B" w14:paraId="7D1E72D4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02619D8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0BA66C8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Projekt/Aktivnost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A05F566" w14:textId="77777777" w:rsidR="00C46F0B" w:rsidRPr="00C46F0B" w:rsidRDefault="00C46F0B" w:rsidP="00C46F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VRSTA RASHODA I IZDATAKA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1A435BB" w14:textId="77777777" w:rsidR="00C46F0B" w:rsidRPr="00C46F0B" w:rsidRDefault="00C46F0B" w:rsidP="00C46F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Izvorni plan 2023 €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3ADFB16" w14:textId="77777777" w:rsidR="00C46F0B" w:rsidRPr="00C46F0B" w:rsidRDefault="00C46F0B" w:rsidP="00C46F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Izvršenje 2023 €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4863EA8" w14:textId="77777777" w:rsidR="00C46F0B" w:rsidRPr="00C46F0B" w:rsidRDefault="00C46F0B" w:rsidP="00C46F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 2/1</w:t>
            </w:r>
          </w:p>
        </w:tc>
      </w:tr>
      <w:tr w:rsidR="00C46F0B" w:rsidRPr="00C46F0B" w14:paraId="7ECCC9D7" w14:textId="77777777" w:rsidTr="00C46F0B">
        <w:trPr>
          <w:trHeight w:val="26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42835A1" w14:textId="77777777" w:rsidR="00C46F0B" w:rsidRPr="00C46F0B" w:rsidRDefault="00C46F0B" w:rsidP="00C46F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59E0E12" w14:textId="77777777" w:rsidR="00C46F0B" w:rsidRPr="00C46F0B" w:rsidRDefault="00C46F0B" w:rsidP="00C46F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B8EA54C" w14:textId="77777777" w:rsidR="00C46F0B" w:rsidRPr="00C46F0B" w:rsidRDefault="00C46F0B" w:rsidP="00C46F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A684FDE" w14:textId="77777777" w:rsidR="00C46F0B" w:rsidRPr="00C46F0B" w:rsidRDefault="00C46F0B" w:rsidP="00C46F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</w:tr>
      <w:tr w:rsidR="00C46F0B" w:rsidRPr="00C46F0B" w14:paraId="5FB57DB2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684747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83202B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UKUPNO RASHODI I IZDATCI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76065D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2.256.112,00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DED11D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2.202.611,53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09094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97,63%</w:t>
            </w:r>
          </w:p>
        </w:tc>
      </w:tr>
      <w:tr w:rsidR="00C46F0B" w:rsidRPr="00C46F0B" w14:paraId="5EB45EF2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0A40994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0104C88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RAZDJEL 002 UPRAVNI ODJEL ZA DRUŠTVENE DJELATNOSTI, IMOVINU I OPĆE POSLOVE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C54C81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2.256.112,00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B8DB7AE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2.202.611,53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6CC826D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97,63%</w:t>
            </w:r>
          </w:p>
        </w:tc>
      </w:tr>
      <w:tr w:rsidR="00C46F0B" w:rsidRPr="00C46F0B" w14:paraId="38F61E6E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8AB5177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F611D1E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GLAVA 00206 OSNOVNO ŠKOLSTVO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BA6EE66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2.256.112,00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E14AB7A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2.202.611,53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A033ADE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97,63%</w:t>
            </w:r>
          </w:p>
        </w:tc>
      </w:tr>
      <w:tr w:rsidR="00C46F0B" w:rsidRPr="00C46F0B" w14:paraId="31AB7AD8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FA3C40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E6385F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0D552E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54.657,00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896FD1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31.965,61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93A846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58,48%</w:t>
            </w:r>
          </w:p>
        </w:tc>
      </w:tr>
      <w:tr w:rsidR="00C46F0B" w:rsidRPr="00C46F0B" w14:paraId="740AE1BA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947C39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6E62AF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CCB47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54.657,00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33C106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31.965,61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80D8D3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58,48%</w:t>
            </w:r>
          </w:p>
        </w:tc>
      </w:tr>
      <w:tr w:rsidR="00C46F0B" w:rsidRPr="00C46F0B" w14:paraId="0D69DD7F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829CEC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CAE96C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6985FD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18.328,00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4605C4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14.366,06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57F54A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78,38%</w:t>
            </w:r>
          </w:p>
        </w:tc>
      </w:tr>
      <w:tr w:rsidR="00C46F0B" w:rsidRPr="00C46F0B" w14:paraId="40CC499C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62FACC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3C3DA6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15E577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18.328,00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10F01B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14.366,06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D80888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78,38%</w:t>
            </w:r>
          </w:p>
        </w:tc>
      </w:tr>
      <w:tr w:rsidR="00C46F0B" w:rsidRPr="00C46F0B" w14:paraId="46E645AF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30B76A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F9643A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86F5B1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2.175.356,00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8C3B13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2.150.697,30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C33572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98,87%</w:t>
            </w:r>
          </w:p>
        </w:tc>
      </w:tr>
      <w:tr w:rsidR="00C46F0B" w:rsidRPr="00C46F0B" w14:paraId="7E763AC4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0C1A4D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59B9A3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5.2. DRŽAVNI PRORAČUN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338EDD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2.146.718,00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FC764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2.122.853,56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531C6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98,89%</w:t>
            </w:r>
          </w:p>
        </w:tc>
      </w:tr>
      <w:tr w:rsidR="00C46F0B" w:rsidRPr="00C46F0B" w14:paraId="5EC76194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B961C0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E7AFA2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 INSTITUCIJE I TIJELA 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49AC1F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28.638,00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5D0C09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27.843,74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A388E4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97,23%</w:t>
            </w:r>
          </w:p>
        </w:tc>
      </w:tr>
      <w:tr w:rsidR="00C46F0B" w:rsidRPr="00C46F0B" w14:paraId="066F7E17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F740EF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82E652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CA94EF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C050B1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3.811,68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E47528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63,53%</w:t>
            </w:r>
          </w:p>
        </w:tc>
      </w:tr>
      <w:tr w:rsidR="00C46F0B" w:rsidRPr="00C46F0B" w14:paraId="45C9011D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44E3E3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E769C3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6.1. DONACIJE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D11FB4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BA094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3.811,68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025D7B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63,53%</w:t>
            </w:r>
          </w:p>
        </w:tc>
      </w:tr>
      <w:tr w:rsidR="00C46F0B" w:rsidRPr="00C46F0B" w14:paraId="60D6A665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3C8FAC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60A707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9. VIŠAK IZ PRETHODNIH RAZDOBLJA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F4A6D0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1.771,00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B0495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1.770,88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FB396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99,99%</w:t>
            </w:r>
          </w:p>
        </w:tc>
      </w:tr>
      <w:tr w:rsidR="00C46F0B" w:rsidRPr="00C46F0B" w14:paraId="117FB73E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BA5971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061B57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9.1. VIŠAK IZ PRETHODNIH GODINA - PROR.KORISNICI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53C9E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1.771,00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75489B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1.770,88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6F4A3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99,99%</w:t>
            </w:r>
          </w:p>
        </w:tc>
      </w:tr>
      <w:tr w:rsidR="00C46F0B" w:rsidRPr="00C46F0B" w14:paraId="44DEEE9B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BA57806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5FA685A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2822D5F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Program: Obrazovanje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71365D6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2.256.112,00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E3691CA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2.202.611,53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E83E46D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97,63%</w:t>
            </w:r>
          </w:p>
        </w:tc>
      </w:tr>
      <w:tr w:rsidR="00C46F0B" w:rsidRPr="00C46F0B" w14:paraId="77453CF8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749550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90F236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A8B46B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Aktivnost: Redovna djelatnost OŠ - decentralizirane funkcije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1E4C8F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76.287,00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6BBBB4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94.216,41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0CB33E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123,50%</w:t>
            </w:r>
          </w:p>
        </w:tc>
      </w:tr>
      <w:tr w:rsidR="00C46F0B" w:rsidRPr="00C46F0B" w14:paraId="18276997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40E237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333603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AC0FB8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76.287,00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E3DEC9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94.216,41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E68FCD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123,50%</w:t>
            </w:r>
          </w:p>
        </w:tc>
      </w:tr>
      <w:tr w:rsidR="00C46F0B" w:rsidRPr="00C46F0B" w14:paraId="429253E9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0A8F96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333D25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5.2. DRŽAVNI PRORAČUN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BD6B2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76.287,00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C40E7B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94.216,41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6C6CB0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123,50%</w:t>
            </w:r>
          </w:p>
        </w:tc>
      </w:tr>
      <w:tr w:rsidR="00C46F0B" w:rsidRPr="00C46F0B" w14:paraId="31A5FC9C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DF6D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FA8A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64D7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5B60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75.975,00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78D2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93.905,11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EF5F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123,60%</w:t>
            </w:r>
          </w:p>
        </w:tc>
      </w:tr>
      <w:tr w:rsidR="00C46F0B" w:rsidRPr="00C46F0B" w14:paraId="114BB108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B221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8470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9E78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3D01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4048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10.065,99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D9BB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505331DF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2812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FBCE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C953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7DE5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BDFD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477,00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803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4E753988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1B12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39F5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6396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6DCC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120F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2.124,80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B951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5F84FCD9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FFD6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57A9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BA99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6603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402D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12.455,69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FC4D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72809229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F9B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6029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EDF2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29B6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3249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38.697,14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0E70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43E609ED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26EF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68EF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3E96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EF50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9C6A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1.713,88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6BDF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5B528443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A09D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86DF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D8C7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13E0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3A17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562,48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434B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22CBF074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ED63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A9C8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4E0D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0DE1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63AE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7.275,99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D61E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7EE83233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446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9223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3DAD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0471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40C9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3.608,06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41C7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3BD2F8BA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D699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8006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5B38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428B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A81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127,44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1D4D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3011111D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C4A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D0CD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2BE7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182E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7FB0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7.952,49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8132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105143C2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56F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C609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FB7F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01C5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A9BF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165,90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F3A7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5C2B8148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272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7CB9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AD96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0804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67F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5.115,97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E811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514CA8EB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8E57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484B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30ED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B91B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25D0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312,21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70B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2E02EA91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1F0F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3433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79BF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5978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3C91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550,13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56B3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45AFA9F7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98D6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339D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011F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0276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60F9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720,03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372F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3101407D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42CA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4C52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D941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68EF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55E3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1.262,36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E718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35A9E4F9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BACD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1793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38B9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Članarine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CE47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2EB1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163,09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1F49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1B01948D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F9CD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030B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811C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C6EB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049A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53,09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82FB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12B6482A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B5FF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CA22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53AA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8E61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EF2F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501,37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D702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76A395E6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1DF7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7B1A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5D5B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156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8DE7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311,30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9D34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99,78%</w:t>
            </w:r>
          </w:p>
        </w:tc>
      </w:tr>
      <w:tr w:rsidR="00C46F0B" w:rsidRPr="00C46F0B" w14:paraId="31A22C92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99BA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7A78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17D9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B9E6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6CC4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311,30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8E98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5D29C166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949E3A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86F1F6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FD2A81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Aktivnost: Redovna djelatnost OŠ - izvan </w:t>
            </w:r>
            <w:proofErr w:type="spellStart"/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dec</w:t>
            </w:r>
            <w:proofErr w:type="spellEnd"/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. sredstava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548349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1.978.662,00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3D5AFE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1.937.030,32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D88317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97,90%</w:t>
            </w:r>
          </w:p>
        </w:tc>
      </w:tr>
      <w:tr w:rsidR="00C46F0B" w:rsidRPr="00C46F0B" w14:paraId="58EE5278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ED612A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B54C72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427021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31.202,00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D47D1B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12.605,40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D0237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40,40%</w:t>
            </w:r>
          </w:p>
        </w:tc>
      </w:tr>
      <w:tr w:rsidR="00C46F0B" w:rsidRPr="00C46F0B" w14:paraId="7D19B704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DE9A56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D3BFC9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718D77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31.202,00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4CC30D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12.605,40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E3CC19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40,40%</w:t>
            </w:r>
          </w:p>
        </w:tc>
      </w:tr>
      <w:tr w:rsidR="00C46F0B" w:rsidRPr="00C46F0B" w14:paraId="1464486E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0FC9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6B43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A9A0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597B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31.202,00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B546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12.605,40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265B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40,40%</w:t>
            </w:r>
          </w:p>
        </w:tc>
      </w:tr>
      <w:tr w:rsidR="00C46F0B" w:rsidRPr="00C46F0B" w14:paraId="154201D0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4F7E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8312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0B67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3B4C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940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627,50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739B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5AA52E26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4FD2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FB2A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45DD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ED53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7246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69,70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E190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4EC0C587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43A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C520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137A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E14C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005F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-6.915,61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F53B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7A7F0062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B7DD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81BD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EB13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39AE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92C3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3.036,55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38C6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7C7F639C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A47D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3708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3633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2BF4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F8E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6.617,90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41EF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0CBBBBA7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4631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9CA6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2D6D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6D03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F1B1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F8D4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172EFD87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B8F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46D4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F2DC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8C1C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CBC2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453,97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DD8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6CDE0E86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DF17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2DEE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BC42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092E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E2B2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4.856,20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929B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3E652B82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1472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088B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A001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023C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704B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2.859,19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C56F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65096FE6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43018D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9F6A93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C82F8B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12.728,00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D4AC6E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10.969,95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E7D5FE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86,19%</w:t>
            </w:r>
          </w:p>
        </w:tc>
      </w:tr>
      <w:tr w:rsidR="00C46F0B" w:rsidRPr="00C46F0B" w14:paraId="5A6CFFBA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16C9DC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4AC7B4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DC0283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12.728,00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58FEF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10.969,95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39CCA8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86,19%</w:t>
            </w:r>
          </w:p>
        </w:tc>
      </w:tr>
      <w:tr w:rsidR="00C46F0B" w:rsidRPr="00C46F0B" w14:paraId="1571EDA3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7357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923E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32DD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EFB2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12.728,00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6E5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10.969,95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97A9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86,19%</w:t>
            </w:r>
          </w:p>
        </w:tc>
      </w:tr>
      <w:tr w:rsidR="00C46F0B" w:rsidRPr="00C46F0B" w14:paraId="56194514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4561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844D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48E6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91F9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BEF1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1.006,70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1A51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35E5DE39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FE30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3CD3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25C6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DC77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C2A1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8F01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10B50A48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07C6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1351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E2D7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38D5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1E57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2.519,00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DD13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3C6E413B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20AF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99B7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C789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CC9A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171E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1.586,77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DEAD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64F2C803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389E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EA79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2583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C850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87F7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05F2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4C6318FE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16A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A5F0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B48A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EF7F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9B0D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1.250,00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193E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141A3026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AE54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8F21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AAD2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1F38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7498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817,37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CF78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454594A3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D787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38F3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931F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0C16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A3B2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43,80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DFA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02928B08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122D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FD79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DC7B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2622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E32F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4D3A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59DD587F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6708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6F6E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B16B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Članarine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2345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0042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B6E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26F0BB40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D508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6607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F760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201A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5399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2.508,31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D95E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0F979114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4C4064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4F3ABC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8D0242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1.931.232,00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9C6E26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1.911.306,90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3A8F49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98,97%</w:t>
            </w:r>
          </w:p>
        </w:tc>
      </w:tr>
      <w:tr w:rsidR="00C46F0B" w:rsidRPr="00C46F0B" w14:paraId="0763AAF3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A57086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DAB0BB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5.2. DRŽAVNI PRORAČUN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BAA68F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1.931.232,00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94B7B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1.911.306,90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595D79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98,97%</w:t>
            </w:r>
          </w:p>
        </w:tc>
      </w:tr>
      <w:tr w:rsidR="00C46F0B" w:rsidRPr="00C46F0B" w14:paraId="2C0C4BB1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E467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F8C3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5DA1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CF03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1.805.449,00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AB02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1.793.830,20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74EB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99,36%</w:t>
            </w:r>
          </w:p>
        </w:tc>
      </w:tr>
      <w:tr w:rsidR="00C46F0B" w:rsidRPr="00C46F0B" w14:paraId="795BB122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837D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4978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728E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BC5B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B1D2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1.477.984,14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990F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2ADB4451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59A4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BED3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5ABF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5722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9609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71.979,18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9349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1AA483A6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A760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E072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55B3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772A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5681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243.866,88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8150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7C0835E0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49E0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F6A9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7487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55A8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99.516,00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D61D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91.273,30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E656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91,72%</w:t>
            </w:r>
          </w:p>
        </w:tc>
      </w:tr>
      <w:tr w:rsidR="00C46F0B" w:rsidRPr="00C46F0B" w14:paraId="43DE4E0F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BAE7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094E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E9EC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F4DB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1B40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313,08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27BD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5676BE98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6B78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A226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778D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3DB4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084B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85.724,96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0048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7B841E06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B166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6A47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DF8F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72E1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D3DE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89,73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B2F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7F97A7AD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BA07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5D1B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C858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DB9F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1BC8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142,25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AA43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0A9C3108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81CB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42F3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6E5F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035C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B9E4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0EA8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6BA01103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A5E6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1F8E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4A80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E805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C14A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4.993,28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F393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49240DB3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8C49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B173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5608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2EC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234B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25.136,48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F6A0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99,75%</w:t>
            </w:r>
          </w:p>
        </w:tc>
      </w:tr>
      <w:tr w:rsidR="00C46F0B" w:rsidRPr="00C46F0B" w14:paraId="263090F6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6100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EFBB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8B4A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4BC2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1BF4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25.136,48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4E9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776282B0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027D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3613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4760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0ADD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1.067,00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83B9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1.066,92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15F7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99,99%</w:t>
            </w:r>
          </w:p>
        </w:tc>
      </w:tr>
      <w:tr w:rsidR="00C46F0B" w:rsidRPr="00C46F0B" w14:paraId="0C1E70F4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919A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7791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DF79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Tekuće donacije u naravi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1114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0A4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1.066,92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043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5EAFEAFD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DFFD90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0F2446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EF7CA8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8DE9B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2.148,07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4CADAE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61,37%</w:t>
            </w:r>
          </w:p>
        </w:tc>
      </w:tr>
      <w:tr w:rsidR="00C46F0B" w:rsidRPr="00C46F0B" w14:paraId="039EFBAB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D6D2A4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5B922D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6.1. DONACIJE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03B5D2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62FB39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2.148,07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4CB3EA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61,37%</w:t>
            </w:r>
          </w:p>
        </w:tc>
      </w:tr>
      <w:tr w:rsidR="00C46F0B" w:rsidRPr="00C46F0B" w14:paraId="3F4DD850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72B7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94AC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5B2F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E599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2263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2.148,07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D08F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61,37%</w:t>
            </w:r>
          </w:p>
        </w:tc>
      </w:tr>
      <w:tr w:rsidR="00C46F0B" w:rsidRPr="00C46F0B" w14:paraId="60A441A4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5127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01B5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73F7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A446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C73B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978,07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E5F1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7583DC90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0A6B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7C8B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B9E3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07B0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DD0F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1.170,00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2E24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3A9DEE79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B17713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31E9FE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EAAA29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Aktivnost: Prehrana za učenike osnovnih škola osigurana iz sredstava Državnog proračuna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8ECE8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95A63F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97.969,57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17A83D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81,64%</w:t>
            </w:r>
          </w:p>
        </w:tc>
      </w:tr>
      <w:tr w:rsidR="00C46F0B" w:rsidRPr="00C46F0B" w14:paraId="70ADEDBE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D26847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F76135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58F9EE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790AD6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97.969,57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A17261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81,64%</w:t>
            </w:r>
          </w:p>
        </w:tc>
      </w:tr>
      <w:tr w:rsidR="00C46F0B" w:rsidRPr="00C46F0B" w14:paraId="4D2EACD1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8691A0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8D8DDA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5.2. DRŽAVNI PRORAČUN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87BF28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BD4F00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97.969,57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8C9B4D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81,64%</w:t>
            </w:r>
          </w:p>
        </w:tc>
      </w:tr>
      <w:tr w:rsidR="00C46F0B" w:rsidRPr="00C46F0B" w14:paraId="49536883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B19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6AEE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2970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ACFE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5720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97.969,57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5212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81,64%</w:t>
            </w:r>
          </w:p>
        </w:tc>
      </w:tr>
      <w:tr w:rsidR="00C46F0B" w:rsidRPr="00C46F0B" w14:paraId="43BFA9C1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399E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1594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8491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722F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682A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97.969,57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ED1A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60314959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E02A81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CB6516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K102004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F1EF1C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Kapitalni projekt: Opremanje OŠ (nabava knjiga i opreme) - decentralizirana sredstva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6ED13A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5.513,00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5D5F8E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6.848,86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27C15A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124,23%</w:t>
            </w:r>
          </w:p>
        </w:tc>
      </w:tr>
      <w:tr w:rsidR="00C46F0B" w:rsidRPr="00C46F0B" w14:paraId="421109AA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D7C940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087FF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7E231E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5.513,00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161BCE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6.848,86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356282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124,23%</w:t>
            </w:r>
          </w:p>
        </w:tc>
      </w:tr>
      <w:tr w:rsidR="00C46F0B" w:rsidRPr="00C46F0B" w14:paraId="4F53A7BD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ACA2F0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F3A568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5.2. DRŽAVNI PRORAČUN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1D66EA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5.513,00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01FA93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6.848,86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F68B88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124,23%</w:t>
            </w:r>
          </w:p>
        </w:tc>
      </w:tr>
      <w:tr w:rsidR="00C46F0B" w:rsidRPr="00C46F0B" w14:paraId="7CAAED6F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D480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2058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B4C0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E8F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5.513,00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1771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6.848,86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0253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124,23%</w:t>
            </w:r>
          </w:p>
        </w:tc>
      </w:tr>
      <w:tr w:rsidR="00C46F0B" w:rsidRPr="00C46F0B" w14:paraId="0E2AD45F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BFDF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B44A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5266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F2E4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D484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5.795,53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B4EE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3E5B512D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060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C36A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4231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972B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Prijevozna sredstva u cestovnom prometu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2868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0B2D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1.053,33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9EAF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6D071D64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0EA1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03D1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2DC9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4F16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DB61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F0A7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3E9FD7E8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FF86BB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E08216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K102005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EB4AC7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Kapitalni projekt: Opremanje OŠ (nabava knjiga i opreme) - izvan </w:t>
            </w:r>
            <w:proofErr w:type="spellStart"/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dec</w:t>
            </w:r>
            <w:proofErr w:type="spellEnd"/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. sredstava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A08464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15.021,00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03D0D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13.403,61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6F79C9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89,23%</w:t>
            </w:r>
          </w:p>
        </w:tc>
      </w:tr>
      <w:tr w:rsidR="00C46F0B" w:rsidRPr="00C46F0B" w14:paraId="3F401579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2AA87D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8E88A5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1CF57D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028431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3.249,12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962616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98,46%</w:t>
            </w:r>
          </w:p>
        </w:tc>
      </w:tr>
      <w:tr w:rsidR="00C46F0B" w:rsidRPr="00C46F0B" w14:paraId="183CED7A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84A9FC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79F905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5311CD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DECF4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3.249,12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C27630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98,46%</w:t>
            </w:r>
          </w:p>
        </w:tc>
      </w:tr>
      <w:tr w:rsidR="00C46F0B" w:rsidRPr="00C46F0B" w14:paraId="177AE44C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1338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4A7F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CD6B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4F32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3.300,00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1C62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3.249,12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D908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98,46%</w:t>
            </w:r>
          </w:p>
        </w:tc>
      </w:tr>
      <w:tr w:rsidR="00C46F0B" w:rsidRPr="00C46F0B" w14:paraId="21439A76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E9A9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DF1F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833A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0F2E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19A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3.249,12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C927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6E498C97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96AAC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CE1F19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8C0162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7.450,00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1DFDBE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6.720,00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9C4682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90,20%</w:t>
            </w:r>
          </w:p>
        </w:tc>
      </w:tr>
      <w:tr w:rsidR="00C46F0B" w:rsidRPr="00C46F0B" w14:paraId="420D0BFC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A372DF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7A8BC9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5.2. DRŽAVNI PRORAČUN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516F64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7.450,00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2B3334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6.720,00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5856F6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90,20%</w:t>
            </w:r>
          </w:p>
        </w:tc>
      </w:tr>
      <w:tr w:rsidR="00C46F0B" w:rsidRPr="00C46F0B" w14:paraId="79DDBE87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9CB0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D31F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152B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E258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7.450,00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2E00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6.720,00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7C49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90,20%</w:t>
            </w:r>
          </w:p>
        </w:tc>
      </w:tr>
      <w:tr w:rsidR="00C46F0B" w:rsidRPr="00C46F0B" w14:paraId="6916C34B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4238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3DE1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AAEA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CC78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DC01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3.718,62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E5F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29EFAFFC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10C7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77C9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3D87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1FEA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0C80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3.001,38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890D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33E2AAD1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3F1E8D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83F66A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912FA1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DCF55A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1.663,61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BD4A92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66,54%</w:t>
            </w:r>
          </w:p>
        </w:tc>
      </w:tr>
      <w:tr w:rsidR="00C46F0B" w:rsidRPr="00C46F0B" w14:paraId="4D1073BE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BFDD6F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9EA611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6.1. DONACIJE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55C39A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DB44D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1.663,61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3AC12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66,54%</w:t>
            </w:r>
          </w:p>
        </w:tc>
      </w:tr>
      <w:tr w:rsidR="00C46F0B" w:rsidRPr="00C46F0B" w14:paraId="7CE4741E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2EE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C09F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3FAB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6DE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BDE3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1.663,61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832E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66,54%</w:t>
            </w:r>
          </w:p>
        </w:tc>
      </w:tr>
      <w:tr w:rsidR="00C46F0B" w:rsidRPr="00C46F0B" w14:paraId="1C59D36A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9F21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951F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A1D4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F425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F6C7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1.663,61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E0C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0BC7A2A5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1047EC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A40E57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9. VIŠAK IZ PRETHODNIH RAZDOBLJA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C6DEC6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1.771,00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5D0A21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1.770,88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5A504F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99,99%</w:t>
            </w:r>
          </w:p>
        </w:tc>
      </w:tr>
      <w:tr w:rsidR="00C46F0B" w:rsidRPr="00C46F0B" w14:paraId="491F7818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B75369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0790DB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9.1. VIŠAK IZ PRETHODNIH GODINA - PROR.KORISNICI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4CCD6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1.771,00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705923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1.770,88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184519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99,99%</w:t>
            </w:r>
          </w:p>
        </w:tc>
      </w:tr>
      <w:tr w:rsidR="00C46F0B" w:rsidRPr="00C46F0B" w14:paraId="6540BFE6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0A68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21E2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9660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87FD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1.771,00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C7B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1.770,88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399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99,99%</w:t>
            </w:r>
          </w:p>
        </w:tc>
      </w:tr>
      <w:tr w:rsidR="00C46F0B" w:rsidRPr="00C46F0B" w14:paraId="01E638A5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D24B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44C3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CB8D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B81D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0CD9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1.770,88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B248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5375DEE4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17C62A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1A2A41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T102001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D3C6DE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Tekući projekt: "Školski obrok za sve"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8128E3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0A5812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4.392,99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E1689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97,62%</w:t>
            </w:r>
          </w:p>
        </w:tc>
      </w:tr>
      <w:tr w:rsidR="00C46F0B" w:rsidRPr="00C46F0B" w14:paraId="025EC51A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F4A498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5B5E45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3C4B12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18A863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4.392,99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00B64F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97,62%</w:t>
            </w:r>
          </w:p>
        </w:tc>
      </w:tr>
      <w:tr w:rsidR="00C46F0B" w:rsidRPr="00C46F0B" w14:paraId="524431C2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BC261A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0E7B01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5.2. DRŽAVNI PRORAČUN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91B1BF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5C8F30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658,95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EE1FB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94,14%</w:t>
            </w:r>
          </w:p>
        </w:tc>
      </w:tr>
      <w:tr w:rsidR="00C46F0B" w:rsidRPr="00C46F0B" w14:paraId="5D813A44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BDBD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C278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206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9E26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D39A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658,95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6C7A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94,14%</w:t>
            </w:r>
          </w:p>
        </w:tc>
      </w:tr>
      <w:tr w:rsidR="00C46F0B" w:rsidRPr="00C46F0B" w14:paraId="28134FCF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3A84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9E6F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0947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B37F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ECA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658,95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6A28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2C1135BF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E9726C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D751E2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 INSTITUCIJE I TIJELA 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6D0ADD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46B03A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3.734,04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E3892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98,26%</w:t>
            </w:r>
          </w:p>
        </w:tc>
      </w:tr>
      <w:tr w:rsidR="00C46F0B" w:rsidRPr="00C46F0B" w14:paraId="4F0F86C0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AA0B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30AC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3E07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8303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3.800,00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D638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3.734,04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EACD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98,26%</w:t>
            </w:r>
          </w:p>
        </w:tc>
      </w:tr>
      <w:tr w:rsidR="00C46F0B" w:rsidRPr="00C46F0B" w14:paraId="0AE9A4D6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4A2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317A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EC76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4E38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B500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3.734,04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A82D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4D550293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655B17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6467C9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T102002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EE491C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Tekući projekt: "Pomoćnici u nastavi - faza V"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778EC3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ACB5A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17.564,04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C13682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97,58%</w:t>
            </w:r>
          </w:p>
        </w:tc>
      </w:tr>
      <w:tr w:rsidR="00C46F0B" w:rsidRPr="00C46F0B" w14:paraId="1838F4E2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50AA14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999197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731CE9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28BBF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17.564,04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BF9160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97,58%</w:t>
            </w:r>
          </w:p>
        </w:tc>
      </w:tr>
      <w:tr w:rsidR="00C46F0B" w:rsidRPr="00C46F0B" w14:paraId="2C252E58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172FE2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94CA45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5.2. DRŽAVNI PRORAČUN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207262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3.465,00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D11814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3.381,08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95B3F3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97,58%</w:t>
            </w:r>
          </w:p>
        </w:tc>
      </w:tr>
      <w:tr w:rsidR="00C46F0B" w:rsidRPr="00C46F0B" w14:paraId="40AFF623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C13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D76A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D553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A67E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3.380,00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2BB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3.299,78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8304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97,63%</w:t>
            </w:r>
          </w:p>
        </w:tc>
      </w:tr>
      <w:tr w:rsidR="00C46F0B" w:rsidRPr="00C46F0B" w14:paraId="4495763E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73B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BC2C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C086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94AB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429A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2.634,13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100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14162B45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0DFA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0769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2DF3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7ED8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0DD2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231,00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F39A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32C5CB20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C51E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DB94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81C6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6DF0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3DF8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434,65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2C43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2524F3CA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5AB9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4BB6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8386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6F90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D6E1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81,30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615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95,65%</w:t>
            </w:r>
          </w:p>
        </w:tc>
      </w:tr>
      <w:tr w:rsidR="00C46F0B" w:rsidRPr="00C46F0B" w14:paraId="10980EB1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543E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896B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9EDE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920C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C9A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81,30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BA4D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565C53D5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78534D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2070E4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 INSTITUCIJE I TIJELA 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978BF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14.535,00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E1FC0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14.182,96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8E0B83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97,58%</w:t>
            </w:r>
          </w:p>
        </w:tc>
      </w:tr>
      <w:tr w:rsidR="00C46F0B" w:rsidRPr="00C46F0B" w14:paraId="5C1F9FC3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E643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6C43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0A99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7BA2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14.180,00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A6A2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13.842,33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51D8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97,62%</w:t>
            </w:r>
          </w:p>
        </w:tc>
      </w:tr>
      <w:tr w:rsidR="00C46F0B" w:rsidRPr="00C46F0B" w14:paraId="48842194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E2F1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0EFF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FF23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CBE3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AC10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11.050,07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D188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0FCCA134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F612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D912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5AC8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A34B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38CE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969,00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1864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32B96E8F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F88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DBBD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97D5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ACBB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606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1.823,26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C49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29C1D9DC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231E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EE18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F167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B85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355,00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8741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340,63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766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95,95%</w:t>
            </w:r>
          </w:p>
        </w:tc>
      </w:tr>
      <w:tr w:rsidR="00C46F0B" w:rsidRPr="00C46F0B" w14:paraId="5E46D209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863F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D0A4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EE6E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DD68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CAE7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340,63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DDE1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0438C651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F4802E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E6478C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T102004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536961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Tekući projekt: "Medni dan"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FE6576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8734B0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FD0F18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C46F0B" w:rsidRPr="00C46F0B" w14:paraId="0A63A2CE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1CC68E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F9E0BF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2FCAD6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857094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3C8267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C46F0B" w:rsidRPr="00C46F0B" w14:paraId="3C9A7AB8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697634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E879AB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5.2. DRŽAVNI PRORAČUN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904140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2433EE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E8F8B8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C46F0B" w:rsidRPr="00C46F0B" w14:paraId="60EA39FD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B073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E9D2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E00E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267F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8C7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58C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C46F0B" w:rsidRPr="00C46F0B" w14:paraId="5438187A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7B60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CAE6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95CC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8E72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955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E47A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7709648C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0FD957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1189FE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T102005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E78F44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Tekući projekt: "Pomoćnici u nastavi - faza VI"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70142B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21.577,00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C2A81D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20.765,59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B828FE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96,24%</w:t>
            </w:r>
          </w:p>
        </w:tc>
      </w:tr>
      <w:tr w:rsidR="00C46F0B" w:rsidRPr="00C46F0B" w14:paraId="61EF30C9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634B9E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58B083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784957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9.455,00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A2477A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9.087,06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9CFEFE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96,11%</w:t>
            </w:r>
          </w:p>
        </w:tc>
      </w:tr>
      <w:tr w:rsidR="00C46F0B" w:rsidRPr="00C46F0B" w14:paraId="02120C79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2F790B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4375A9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05A5FE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9.455,00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BDD3B2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9.087,06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6F2603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96,11%</w:t>
            </w:r>
          </w:p>
        </w:tc>
      </w:tr>
      <w:tr w:rsidR="00C46F0B" w:rsidRPr="00C46F0B" w14:paraId="4154A489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2719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92D8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521B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CB39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9.252,00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1562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8.882,20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3BF9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96,00%</w:t>
            </w:r>
          </w:p>
        </w:tc>
      </w:tr>
      <w:tr w:rsidR="00C46F0B" w:rsidRPr="00C46F0B" w14:paraId="1E5E871C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F6E1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1126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9881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3B18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E454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6.285,88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57D7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3826ED17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F2E6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1E19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75EE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04ED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CD4B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1.559,13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7DE0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5B3FD7D0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68CA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FAA2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C5E1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4F4F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834E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1.037,19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400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06F61B5B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1D08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86E9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6BAB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3C7E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582E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204,86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D591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100,92%</w:t>
            </w:r>
          </w:p>
        </w:tc>
      </w:tr>
      <w:tr w:rsidR="00C46F0B" w:rsidRPr="00C46F0B" w14:paraId="4ACD2B67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3951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A84D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5D94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B4CF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2BF6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204,86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5023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0636B7C4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06DC58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3FF235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3BDE1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12.122,00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C384C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11.678,53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CA76A7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96,34%</w:t>
            </w:r>
          </w:p>
        </w:tc>
      </w:tr>
      <w:tr w:rsidR="00C46F0B" w:rsidRPr="00C46F0B" w14:paraId="1180053F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349E89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B2E0CA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5.2. DRŽAVNI PRORAČUN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6651F7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1.819,00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634D7E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1.751,79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A0AFAB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96,31%</w:t>
            </w:r>
          </w:p>
        </w:tc>
      </w:tr>
      <w:tr w:rsidR="00C46F0B" w:rsidRPr="00C46F0B" w14:paraId="0867231E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F85B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BD49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67AC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F644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1.780,00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852B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1.712,30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7CD7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96,20%</w:t>
            </w:r>
          </w:p>
        </w:tc>
      </w:tr>
      <w:tr w:rsidR="00C46F0B" w:rsidRPr="00C46F0B" w14:paraId="3CAB6E79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F5A9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4456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7F77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EB79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4286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1.211,78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BFAE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580E0040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DFE4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EFB0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262E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741F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B90E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300,57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2839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245ACFD9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86AB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2BC8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7372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A372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2DBF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199,95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D06E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34DE5FC1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8109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21DE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1531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E6F3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AC34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39,49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1C02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101,26%</w:t>
            </w:r>
          </w:p>
        </w:tc>
      </w:tr>
      <w:tr w:rsidR="00C46F0B" w:rsidRPr="00C46F0B" w14:paraId="63036062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3FA9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1A59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AE03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6F3A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B82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39,49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467F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17C3597D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957F2C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3C8037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 INSTITUCIJE I TIJELA 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0FB7E3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10.303,00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0E6D9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9.926,74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8FD3F6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96,35%</w:t>
            </w:r>
          </w:p>
        </w:tc>
      </w:tr>
      <w:tr w:rsidR="00C46F0B" w:rsidRPr="00C46F0B" w14:paraId="35ADB49A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D113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9660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BDDC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8AB8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10.082,00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A0F8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9.702,95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01B1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96,24%</w:t>
            </w:r>
          </w:p>
        </w:tc>
      </w:tr>
      <w:tr w:rsidR="00C46F0B" w:rsidRPr="00C46F0B" w14:paraId="530BD582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457F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F2E6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529E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7B58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DA3B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6.866,73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B543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555C9B94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B3F9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FF79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7849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4C41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3B3F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1.703,20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AD5D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50F765D5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71F4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7AC7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F5AB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5EA3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71E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1.133,02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5B5B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384F7C6A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89ED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1201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8016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B006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221,00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9C76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223,79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433D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101,26%</w:t>
            </w:r>
          </w:p>
        </w:tc>
      </w:tr>
      <w:tr w:rsidR="00C46F0B" w:rsidRPr="00C46F0B" w14:paraId="28F7341D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AEB8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BC3C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1926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87FE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F629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223,79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696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3B1F7AD9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971015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50BD68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T102006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7F3F6F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Tekući projekt: Produženi boravak u osnovnoj školi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B15A8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16.300,00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EA67F3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10.420,14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A2A1A1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63,93%</w:t>
            </w:r>
          </w:p>
        </w:tc>
      </w:tr>
      <w:tr w:rsidR="00C46F0B" w:rsidRPr="00C46F0B" w14:paraId="0A52F674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B8BD1C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3BB2B0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42E9C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0F109F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10.273,15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FD668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73,38%</w:t>
            </w:r>
          </w:p>
        </w:tc>
      </w:tr>
      <w:tr w:rsidR="00C46F0B" w:rsidRPr="00C46F0B" w14:paraId="676E7A89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C5769D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6440E6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1A858F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8275C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10.273,15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EDEB73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73,38%</w:t>
            </w:r>
          </w:p>
        </w:tc>
      </w:tr>
      <w:tr w:rsidR="00C46F0B" w:rsidRPr="00C46F0B" w14:paraId="32D2DD4B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B8DB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704B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B2B5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8BD7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12.700,00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98E2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10.123,24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17E0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79,71%</w:t>
            </w:r>
          </w:p>
        </w:tc>
      </w:tr>
      <w:tr w:rsidR="00C46F0B" w:rsidRPr="00C46F0B" w14:paraId="48228597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55E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0F40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FB04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B087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105A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8.113,10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EFF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4C3E1E98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D32F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B068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42D8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5A18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2DD9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671,45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C396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39802174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838A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0233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39CA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DD5E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109B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1.338,69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B94A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6419DBF6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2341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2C5C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A4A9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95B4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D79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149,91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3E83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11,53%</w:t>
            </w:r>
          </w:p>
        </w:tc>
      </w:tr>
      <w:tr w:rsidR="00C46F0B" w:rsidRPr="00C46F0B" w14:paraId="529EBC06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6B4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10E8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8D5F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1702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62A0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149,91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4A43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3E85BB8D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25E8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10D8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06F5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D2B3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F3DF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797E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75C76E20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78F5D4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7B852E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B11445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637DBF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146,99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DBEAB2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6,39%</w:t>
            </w:r>
          </w:p>
        </w:tc>
      </w:tr>
      <w:tr w:rsidR="00C46F0B" w:rsidRPr="00C46F0B" w14:paraId="5642F56A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D8BC0E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B35DCB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222691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2E38C8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146,99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451BA8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6,39%</w:t>
            </w:r>
          </w:p>
        </w:tc>
      </w:tr>
      <w:tr w:rsidR="00C46F0B" w:rsidRPr="00C46F0B" w14:paraId="24B5CA33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C73C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3FEF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8652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D11A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C010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146,99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1C20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6,39%</w:t>
            </w:r>
          </w:p>
        </w:tc>
      </w:tr>
      <w:tr w:rsidR="00C46F0B" w:rsidRPr="00C46F0B" w14:paraId="520D8FA0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C072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BEEA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E742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970F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EA40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34,10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5DE1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C46F0B" w:rsidRPr="00C46F0B" w14:paraId="51ACF3FF" w14:textId="77777777" w:rsidTr="00C46F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D5F2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A98A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DA18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7EB8" w14:textId="77777777" w:rsidR="00C46F0B" w:rsidRPr="00C46F0B" w:rsidRDefault="00C46F0B" w:rsidP="00C46F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34EE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46F0B">
              <w:rPr>
                <w:rFonts w:ascii="Arial" w:hAnsi="Arial" w:cs="Arial"/>
                <w:sz w:val="20"/>
                <w:szCs w:val="20"/>
                <w:lang w:eastAsia="hr-HR"/>
              </w:rPr>
              <w:t>112,89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715E" w14:textId="77777777" w:rsidR="00C46F0B" w:rsidRPr="00C46F0B" w:rsidRDefault="00C46F0B" w:rsidP="00C46F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bookmarkEnd w:id="1"/>
    </w:tbl>
    <w:tbl>
      <w:tblPr>
        <w:tblpPr w:leftFromText="180" w:rightFromText="180" w:vertAnchor="text" w:horzAnchor="page" w:tblpX="417" w:tblpY="-4531"/>
        <w:tblW w:w="16209" w:type="dxa"/>
        <w:tblLook w:val="04A0" w:firstRow="1" w:lastRow="0" w:firstColumn="1" w:lastColumn="0" w:noHBand="0" w:noVBand="1"/>
      </w:tblPr>
      <w:tblGrid>
        <w:gridCol w:w="16209"/>
      </w:tblGrid>
      <w:tr w:rsidR="00E71668" w:rsidRPr="00E71668" w14:paraId="704BC936" w14:textId="77777777" w:rsidTr="00F2742E">
        <w:trPr>
          <w:trHeight w:val="300"/>
        </w:trPr>
        <w:tc>
          <w:tcPr>
            <w:tcW w:w="16209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D870806" w14:textId="4E4DB520" w:rsidR="00FF1701" w:rsidRPr="00FF1701" w:rsidRDefault="00FF1701" w:rsidP="00FF1701">
            <w:pPr>
              <w:pStyle w:val="Odlomakpopisa"/>
              <w:rPr>
                <w:b/>
                <w:bCs/>
                <w:color w:val="000000"/>
              </w:rPr>
            </w:pPr>
          </w:p>
        </w:tc>
      </w:tr>
    </w:tbl>
    <w:p w14:paraId="64621284" w14:textId="77777777" w:rsidR="00C46F0B" w:rsidRPr="008E194E" w:rsidRDefault="00C46F0B" w:rsidP="00BC3810">
      <w:pPr>
        <w:spacing w:after="0" w:line="240" w:lineRule="auto"/>
        <w:rPr>
          <w:rFonts w:asciiTheme="minorHAnsi" w:hAnsiTheme="minorHAnsi" w:cstheme="minorHAnsi"/>
          <w:color w:val="000000"/>
          <w:lang w:eastAsia="hr-HR"/>
        </w:rPr>
        <w:sectPr w:rsidR="00C46F0B" w:rsidRPr="008E194E" w:rsidSect="00473AAA">
          <w:headerReference w:type="default" r:id="rId9"/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14:paraId="37C2A916" w14:textId="69CDE1A0" w:rsidR="00297CC9" w:rsidRDefault="00BC3810" w:rsidP="00A14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8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OBRAZLOŽENJE </w:t>
      </w:r>
      <w:r w:rsidR="00297CC9" w:rsidRPr="0029787A">
        <w:rPr>
          <w:rFonts w:ascii="Times New Roman" w:hAnsi="Times New Roman" w:cs="Times New Roman"/>
          <w:b/>
          <w:sz w:val="24"/>
          <w:szCs w:val="24"/>
        </w:rPr>
        <w:t>GODIŠNJEG IZVJEŠTAJA O IZVRŠENJU FINANCIJSKOG PLANA ZA 202</w:t>
      </w:r>
      <w:r w:rsidR="00AD16C6" w:rsidRPr="0029787A">
        <w:rPr>
          <w:rFonts w:ascii="Times New Roman" w:hAnsi="Times New Roman" w:cs="Times New Roman"/>
          <w:b/>
          <w:sz w:val="24"/>
          <w:szCs w:val="24"/>
        </w:rPr>
        <w:t>3</w:t>
      </w:r>
      <w:r w:rsidR="00297CC9" w:rsidRPr="0029787A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1980262F" w14:textId="77777777" w:rsidR="00DC1F7B" w:rsidRPr="0029787A" w:rsidRDefault="00DC1F7B" w:rsidP="00FA58DB">
      <w:pPr>
        <w:rPr>
          <w:rFonts w:ascii="Times New Roman" w:hAnsi="Times New Roman" w:cs="Times New Roman"/>
          <w:b/>
          <w:sz w:val="24"/>
          <w:szCs w:val="24"/>
        </w:rPr>
      </w:pPr>
    </w:p>
    <w:p w14:paraId="4771E910" w14:textId="71765806" w:rsidR="00D47637" w:rsidRDefault="00297CC9" w:rsidP="00234B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87A">
        <w:rPr>
          <w:rFonts w:ascii="Times New Roman" w:hAnsi="Times New Roman" w:cs="Times New Roman"/>
          <w:b/>
          <w:sz w:val="24"/>
          <w:szCs w:val="24"/>
        </w:rPr>
        <w:t>1.</w:t>
      </w:r>
      <w:r w:rsidR="00242EDE">
        <w:rPr>
          <w:rFonts w:ascii="Times New Roman" w:hAnsi="Times New Roman" w:cs="Times New Roman"/>
          <w:b/>
          <w:sz w:val="24"/>
          <w:szCs w:val="24"/>
        </w:rPr>
        <w:t xml:space="preserve"> Obrazloženje općeg dijela </w:t>
      </w:r>
      <w:r w:rsidR="00DC1F7B">
        <w:rPr>
          <w:rFonts w:ascii="Times New Roman" w:hAnsi="Times New Roman" w:cs="Times New Roman"/>
          <w:b/>
          <w:sz w:val="24"/>
          <w:szCs w:val="24"/>
        </w:rPr>
        <w:t>financijskog plana</w:t>
      </w:r>
    </w:p>
    <w:p w14:paraId="5EFC430D" w14:textId="77777777" w:rsidR="00DC1F7B" w:rsidRPr="0029787A" w:rsidRDefault="00DC1F7B" w:rsidP="00234B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42A82" w14:textId="626FC3F1" w:rsidR="0080224C" w:rsidRPr="0029787A" w:rsidRDefault="00905420" w:rsidP="00FA58DB">
      <w:pPr>
        <w:rPr>
          <w:rFonts w:ascii="Times New Roman" w:hAnsi="Times New Roman" w:cs="Times New Roman"/>
          <w:bCs/>
          <w:sz w:val="24"/>
          <w:szCs w:val="24"/>
        </w:rPr>
      </w:pPr>
      <w:r w:rsidRPr="0029787A">
        <w:rPr>
          <w:rFonts w:ascii="Times New Roman" w:hAnsi="Times New Roman" w:cs="Times New Roman"/>
          <w:bCs/>
          <w:sz w:val="24"/>
          <w:szCs w:val="24"/>
        </w:rPr>
        <w:t xml:space="preserve">U odnosu na tekući plan </w:t>
      </w:r>
      <w:r w:rsidR="004B1F75">
        <w:rPr>
          <w:rFonts w:ascii="Times New Roman" w:hAnsi="Times New Roman" w:cs="Times New Roman"/>
          <w:bCs/>
          <w:sz w:val="24"/>
          <w:szCs w:val="24"/>
        </w:rPr>
        <w:t>OŠ Garešnica</w:t>
      </w:r>
      <w:r w:rsidRPr="0029787A">
        <w:rPr>
          <w:rFonts w:ascii="Times New Roman" w:hAnsi="Times New Roman" w:cs="Times New Roman"/>
          <w:bCs/>
          <w:sz w:val="24"/>
          <w:szCs w:val="24"/>
        </w:rPr>
        <w:t xml:space="preserve"> za 2023. godinu ostvareno je </w:t>
      </w:r>
      <w:r w:rsidR="004B1F75">
        <w:rPr>
          <w:rFonts w:ascii="Times New Roman" w:hAnsi="Times New Roman" w:cs="Times New Roman"/>
          <w:bCs/>
          <w:sz w:val="24"/>
          <w:szCs w:val="24"/>
        </w:rPr>
        <w:t>97,49</w:t>
      </w:r>
      <w:r w:rsidR="001E7AA1" w:rsidRPr="0029787A">
        <w:rPr>
          <w:rFonts w:ascii="Times New Roman" w:hAnsi="Times New Roman" w:cs="Times New Roman"/>
          <w:bCs/>
          <w:sz w:val="24"/>
          <w:szCs w:val="24"/>
        </w:rPr>
        <w:t>% ukupno planiranih prihoda</w:t>
      </w:r>
      <w:r w:rsidR="00267C38" w:rsidRPr="0029787A">
        <w:rPr>
          <w:rFonts w:ascii="Times New Roman" w:hAnsi="Times New Roman" w:cs="Times New Roman"/>
          <w:bCs/>
          <w:sz w:val="24"/>
          <w:szCs w:val="24"/>
        </w:rPr>
        <w:t>,</w:t>
      </w:r>
      <w:r w:rsidR="001E7AA1" w:rsidRPr="0029787A">
        <w:rPr>
          <w:rFonts w:ascii="Times New Roman" w:hAnsi="Times New Roman" w:cs="Times New Roman"/>
          <w:bCs/>
          <w:sz w:val="24"/>
          <w:szCs w:val="24"/>
        </w:rPr>
        <w:t xml:space="preserve"> te </w:t>
      </w:r>
      <w:r w:rsidR="004B1F75">
        <w:rPr>
          <w:rFonts w:ascii="Times New Roman" w:hAnsi="Times New Roman" w:cs="Times New Roman"/>
          <w:bCs/>
          <w:sz w:val="24"/>
          <w:szCs w:val="24"/>
        </w:rPr>
        <w:t>97,62</w:t>
      </w:r>
      <w:r w:rsidR="00816430" w:rsidRPr="0029787A">
        <w:rPr>
          <w:rFonts w:ascii="Times New Roman" w:hAnsi="Times New Roman" w:cs="Times New Roman"/>
          <w:bCs/>
          <w:sz w:val="24"/>
          <w:szCs w:val="24"/>
        </w:rPr>
        <w:t>% ukupno planiranih rashoda. Usporedbom izvršenja prethod</w:t>
      </w:r>
      <w:r w:rsidR="000D07BF" w:rsidRPr="0029787A">
        <w:rPr>
          <w:rFonts w:ascii="Times New Roman" w:hAnsi="Times New Roman" w:cs="Times New Roman"/>
          <w:bCs/>
          <w:sz w:val="24"/>
          <w:szCs w:val="24"/>
        </w:rPr>
        <w:t xml:space="preserve">ne i tekuće godine utvrđen je ukupni porast </w:t>
      </w:r>
      <w:r w:rsidR="007F1789">
        <w:rPr>
          <w:rFonts w:ascii="Times New Roman" w:hAnsi="Times New Roman" w:cs="Times New Roman"/>
          <w:bCs/>
          <w:sz w:val="24"/>
          <w:szCs w:val="24"/>
        </w:rPr>
        <w:t>prihoda za 16,93</w:t>
      </w:r>
      <w:r w:rsidR="00310516" w:rsidRPr="0029787A">
        <w:rPr>
          <w:rFonts w:ascii="Times New Roman" w:hAnsi="Times New Roman" w:cs="Times New Roman"/>
          <w:bCs/>
          <w:sz w:val="24"/>
          <w:szCs w:val="24"/>
        </w:rPr>
        <w:t>%</w:t>
      </w:r>
      <w:r w:rsidR="007F1789">
        <w:rPr>
          <w:rFonts w:ascii="Times New Roman" w:hAnsi="Times New Roman" w:cs="Times New Roman"/>
          <w:bCs/>
          <w:sz w:val="24"/>
          <w:szCs w:val="24"/>
        </w:rPr>
        <w:t xml:space="preserve"> te rashoda za 19,19</w:t>
      </w:r>
      <w:r w:rsidR="00267C38" w:rsidRPr="0029787A">
        <w:rPr>
          <w:rFonts w:ascii="Times New Roman" w:hAnsi="Times New Roman" w:cs="Times New Roman"/>
          <w:bCs/>
          <w:sz w:val="24"/>
          <w:szCs w:val="24"/>
        </w:rPr>
        <w:t>%.</w:t>
      </w:r>
    </w:p>
    <w:p w14:paraId="3D16D9FA" w14:textId="42274140" w:rsidR="00015937" w:rsidRPr="0029787A" w:rsidRDefault="00FA76EA" w:rsidP="000159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87A">
        <w:rPr>
          <w:rFonts w:ascii="Times New Roman" w:hAnsi="Times New Roman" w:cs="Times New Roman"/>
          <w:b/>
          <w:bCs/>
          <w:sz w:val="24"/>
          <w:szCs w:val="24"/>
        </w:rPr>
        <w:t>PRIHODI I PRIMICI</w:t>
      </w:r>
    </w:p>
    <w:p w14:paraId="06988FBA" w14:textId="038AC6C2" w:rsidR="00985640" w:rsidRPr="0029787A" w:rsidRDefault="00DE081D" w:rsidP="005920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87A">
        <w:rPr>
          <w:rFonts w:ascii="Times New Roman" w:hAnsi="Times New Roman" w:cs="Times New Roman"/>
          <w:bCs/>
          <w:sz w:val="24"/>
          <w:szCs w:val="24"/>
        </w:rPr>
        <w:t>Financijskim planom i rebalans</w:t>
      </w:r>
      <w:r w:rsidR="00A83E8D" w:rsidRPr="0029787A">
        <w:rPr>
          <w:rFonts w:ascii="Times New Roman" w:hAnsi="Times New Roman" w:cs="Times New Roman"/>
          <w:bCs/>
          <w:sz w:val="24"/>
          <w:szCs w:val="24"/>
        </w:rPr>
        <w:t>ima</w:t>
      </w:r>
      <w:r w:rsidRPr="0029787A">
        <w:rPr>
          <w:rFonts w:ascii="Times New Roman" w:hAnsi="Times New Roman" w:cs="Times New Roman"/>
          <w:bCs/>
          <w:sz w:val="24"/>
          <w:szCs w:val="24"/>
        </w:rPr>
        <w:t xml:space="preserve"> za razdoblje od 01.01.2023.-31.12.2023.</w:t>
      </w:r>
      <w:r w:rsidR="004F2407" w:rsidRPr="0029787A">
        <w:rPr>
          <w:rFonts w:ascii="Times New Roman" w:hAnsi="Times New Roman" w:cs="Times New Roman"/>
          <w:bCs/>
          <w:sz w:val="24"/>
          <w:szCs w:val="24"/>
        </w:rPr>
        <w:t xml:space="preserve"> predviđeni su ukupni prihodi poslovanja u visini </w:t>
      </w:r>
      <w:r w:rsidR="007F1789">
        <w:rPr>
          <w:rFonts w:ascii="Times New Roman" w:hAnsi="Times New Roman" w:cs="Times New Roman"/>
          <w:bCs/>
          <w:sz w:val="24"/>
          <w:szCs w:val="24"/>
        </w:rPr>
        <w:t>2.254.341,00</w:t>
      </w:r>
      <w:r w:rsidR="002D12EC" w:rsidRPr="00297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63E1" w:rsidRPr="0029787A">
        <w:rPr>
          <w:rFonts w:ascii="Times New Roman" w:hAnsi="Times New Roman" w:cs="Times New Roman"/>
          <w:bCs/>
          <w:sz w:val="24"/>
          <w:szCs w:val="24"/>
        </w:rPr>
        <w:t>eura, dok su isti os</w:t>
      </w:r>
      <w:r w:rsidR="007F1789">
        <w:rPr>
          <w:rFonts w:ascii="Times New Roman" w:hAnsi="Times New Roman" w:cs="Times New Roman"/>
          <w:bCs/>
          <w:sz w:val="24"/>
          <w:szCs w:val="24"/>
        </w:rPr>
        <w:t>tvareni u iznosu od 2.197.847,93 eura, odnosno 97,49</w:t>
      </w:r>
      <w:r w:rsidR="00CD6A00" w:rsidRPr="0029787A">
        <w:rPr>
          <w:rFonts w:ascii="Times New Roman" w:hAnsi="Times New Roman" w:cs="Times New Roman"/>
          <w:bCs/>
          <w:sz w:val="24"/>
          <w:szCs w:val="24"/>
        </w:rPr>
        <w:t>%</w:t>
      </w:r>
      <w:r w:rsidR="002D36B9" w:rsidRPr="0029787A">
        <w:rPr>
          <w:rFonts w:ascii="Times New Roman" w:hAnsi="Times New Roman" w:cs="Times New Roman"/>
          <w:bCs/>
          <w:sz w:val="24"/>
          <w:szCs w:val="24"/>
        </w:rPr>
        <w:t xml:space="preserve"> plana. </w:t>
      </w:r>
    </w:p>
    <w:p w14:paraId="3798DB31" w14:textId="77777777" w:rsidR="004C0934" w:rsidRPr="0029787A" w:rsidRDefault="00985640" w:rsidP="00300A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87A">
        <w:rPr>
          <w:rFonts w:ascii="Times New Roman" w:hAnsi="Times New Roman" w:cs="Times New Roman"/>
          <w:b/>
          <w:sz w:val="24"/>
          <w:szCs w:val="24"/>
        </w:rPr>
        <w:t xml:space="preserve">Skupina 63-Pomoći iz inozemstva i od subjekata unutar općeg proračuna </w:t>
      </w:r>
    </w:p>
    <w:p w14:paraId="13BEE8CE" w14:textId="61C0A6C9" w:rsidR="00C2634D" w:rsidRPr="0029787A" w:rsidRDefault="000015EC" w:rsidP="00C2634D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29787A">
        <w:rPr>
          <w:rFonts w:ascii="Times New Roman" w:hAnsi="Times New Roman" w:cs="Times New Roman"/>
          <w:bCs/>
          <w:sz w:val="24"/>
          <w:szCs w:val="24"/>
        </w:rPr>
        <w:t>Prihodi od</w:t>
      </w:r>
      <w:r w:rsidRPr="00297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973" w:rsidRPr="0029787A">
        <w:rPr>
          <w:rFonts w:ascii="Times New Roman" w:hAnsi="Times New Roman" w:cs="Times New Roman"/>
          <w:sz w:val="24"/>
          <w:szCs w:val="24"/>
        </w:rPr>
        <w:t>pomoći iz inozemstva i od subjekata unutar općeg proračuna</w:t>
      </w:r>
      <w:r w:rsidR="00D17687" w:rsidRPr="0029787A">
        <w:rPr>
          <w:rFonts w:ascii="Times New Roman" w:hAnsi="Times New Roman" w:cs="Times New Roman"/>
          <w:sz w:val="24"/>
          <w:szCs w:val="24"/>
        </w:rPr>
        <w:t xml:space="preserve"> o</w:t>
      </w:r>
      <w:r w:rsidR="00550C99" w:rsidRPr="0029787A">
        <w:rPr>
          <w:rFonts w:ascii="Times New Roman" w:hAnsi="Times New Roman" w:cs="Times New Roman"/>
          <w:sz w:val="24"/>
          <w:szCs w:val="24"/>
        </w:rPr>
        <w:t xml:space="preserve">stvareni su u iznosu od </w:t>
      </w:r>
      <w:r w:rsidR="007F1789">
        <w:rPr>
          <w:rFonts w:ascii="Times New Roman" w:hAnsi="Times New Roman" w:cs="Times New Roman"/>
          <w:sz w:val="24"/>
          <w:szCs w:val="24"/>
        </w:rPr>
        <w:t>2.049.381,87 eur</w:t>
      </w:r>
      <w:r w:rsidR="00456AD7">
        <w:rPr>
          <w:rFonts w:ascii="Times New Roman" w:hAnsi="Times New Roman" w:cs="Times New Roman"/>
          <w:sz w:val="24"/>
          <w:szCs w:val="24"/>
        </w:rPr>
        <w:t>a</w:t>
      </w:r>
      <w:r w:rsidR="007F1789">
        <w:rPr>
          <w:rFonts w:ascii="Times New Roman" w:hAnsi="Times New Roman" w:cs="Times New Roman"/>
          <w:sz w:val="24"/>
          <w:szCs w:val="24"/>
        </w:rPr>
        <w:t xml:space="preserve"> što je 97,89</w:t>
      </w:r>
      <w:r w:rsidR="00635FDF" w:rsidRPr="0029787A">
        <w:rPr>
          <w:rFonts w:ascii="Times New Roman" w:hAnsi="Times New Roman" w:cs="Times New Roman"/>
          <w:sz w:val="24"/>
          <w:szCs w:val="24"/>
        </w:rPr>
        <w:t>% plana.</w:t>
      </w:r>
      <w:r w:rsidR="00487C79" w:rsidRPr="0029787A">
        <w:rPr>
          <w:rFonts w:ascii="Times New Roman" w:hAnsi="Times New Roman" w:cs="Times New Roman"/>
          <w:sz w:val="24"/>
          <w:szCs w:val="24"/>
        </w:rPr>
        <w:t xml:space="preserve"> Od toga tekuće pomoći </w:t>
      </w:r>
      <w:r w:rsidR="00731C26" w:rsidRPr="0029787A">
        <w:rPr>
          <w:rFonts w:ascii="Times New Roman" w:hAnsi="Times New Roman" w:cs="Times New Roman"/>
          <w:sz w:val="24"/>
          <w:szCs w:val="24"/>
        </w:rPr>
        <w:t xml:space="preserve">proračunskim korisnicima iz proračuna koji im nije nadležan </w:t>
      </w:r>
      <w:r w:rsidR="00D17687" w:rsidRPr="0029787A">
        <w:rPr>
          <w:rFonts w:ascii="Times New Roman" w:hAnsi="Times New Roman" w:cs="Times New Roman"/>
          <w:sz w:val="24"/>
          <w:szCs w:val="24"/>
        </w:rPr>
        <w:t xml:space="preserve">(6361) </w:t>
      </w:r>
      <w:r w:rsidR="007F1789">
        <w:rPr>
          <w:rFonts w:ascii="Times New Roman" w:hAnsi="Times New Roman" w:cs="Times New Roman"/>
          <w:sz w:val="24"/>
          <w:szCs w:val="24"/>
        </w:rPr>
        <w:t>u iznosu od 2.016.784,96</w:t>
      </w:r>
      <w:r w:rsidR="00BA616A">
        <w:rPr>
          <w:rFonts w:ascii="Times New Roman" w:hAnsi="Times New Roman" w:cs="Times New Roman"/>
          <w:sz w:val="24"/>
          <w:szCs w:val="24"/>
        </w:rPr>
        <w:t xml:space="preserve"> eura,</w:t>
      </w:r>
      <w:r w:rsidR="00A237C6" w:rsidRPr="0029787A">
        <w:rPr>
          <w:rFonts w:ascii="Times New Roman" w:hAnsi="Times New Roman" w:cs="Times New Roman"/>
          <w:sz w:val="24"/>
          <w:szCs w:val="24"/>
        </w:rPr>
        <w:t xml:space="preserve"> kapitalne pomoći proračunskim korisnicima iz proračuna koji im nije nadležan </w:t>
      </w:r>
      <w:r w:rsidR="00DE3652" w:rsidRPr="0029787A">
        <w:rPr>
          <w:rFonts w:ascii="Times New Roman" w:hAnsi="Times New Roman" w:cs="Times New Roman"/>
          <w:sz w:val="24"/>
          <w:szCs w:val="24"/>
        </w:rPr>
        <w:t xml:space="preserve">(6362) </w:t>
      </w:r>
      <w:r w:rsidR="007F1789">
        <w:rPr>
          <w:rFonts w:ascii="Times New Roman" w:hAnsi="Times New Roman" w:cs="Times New Roman"/>
          <w:sz w:val="24"/>
          <w:szCs w:val="24"/>
        </w:rPr>
        <w:t xml:space="preserve">u iznosu od 3.001,38 </w:t>
      </w:r>
      <w:r w:rsidR="00BA616A">
        <w:rPr>
          <w:rFonts w:ascii="Times New Roman" w:hAnsi="Times New Roman" w:cs="Times New Roman"/>
          <w:sz w:val="24"/>
          <w:szCs w:val="24"/>
        </w:rPr>
        <w:t xml:space="preserve">eura, pomoći iz državnog proračuna temeljem prijenosa EU sredstava (6381) u iznosu 17.917,00 eura, tekući prijenosi između proračunskog korisnika istog proračuna (6391) u iznosu 1.751,79 eura i tekući prijenosi između proračunskog korisnika istog proračuna  temeljem prijenosa EU sredstava (6393) u iznosu 9.926,74 eura. </w:t>
      </w:r>
      <w:r w:rsidR="00173DD7" w:rsidRPr="0029787A">
        <w:rPr>
          <w:rFonts w:ascii="Times New Roman" w:hAnsi="Times New Roman" w:cs="Times New Roman"/>
          <w:sz w:val="24"/>
          <w:szCs w:val="24"/>
        </w:rPr>
        <w:t xml:space="preserve">U odnosu na 2022. godinu </w:t>
      </w:r>
      <w:r w:rsidR="008248E0" w:rsidRPr="0029787A">
        <w:rPr>
          <w:rFonts w:ascii="Times New Roman" w:hAnsi="Times New Roman" w:cs="Times New Roman"/>
          <w:sz w:val="24"/>
          <w:szCs w:val="24"/>
        </w:rPr>
        <w:t>o</w:t>
      </w:r>
      <w:r w:rsidR="006B72DD">
        <w:rPr>
          <w:rFonts w:ascii="Times New Roman" w:hAnsi="Times New Roman" w:cs="Times New Roman"/>
          <w:sz w:val="24"/>
          <w:szCs w:val="24"/>
        </w:rPr>
        <w:t>vi prihodi su povećani za 22,68</w:t>
      </w:r>
      <w:r w:rsidR="008248E0" w:rsidRPr="0029787A">
        <w:rPr>
          <w:rFonts w:ascii="Times New Roman" w:hAnsi="Times New Roman" w:cs="Times New Roman"/>
          <w:sz w:val="24"/>
          <w:szCs w:val="24"/>
        </w:rPr>
        <w:t xml:space="preserve">%, a na povećanje je najviše utjecalo </w:t>
      </w:r>
      <w:r w:rsidR="006B72DD">
        <w:rPr>
          <w:rFonts w:ascii="Times New Roman" w:hAnsi="Times New Roman" w:cs="Times New Roman"/>
          <w:sz w:val="24"/>
          <w:szCs w:val="24"/>
        </w:rPr>
        <w:t>pov</w:t>
      </w:r>
      <w:r w:rsidR="004B1A9B">
        <w:rPr>
          <w:rFonts w:ascii="Times New Roman" w:hAnsi="Times New Roman" w:cs="Times New Roman"/>
          <w:sz w:val="24"/>
          <w:szCs w:val="24"/>
        </w:rPr>
        <w:t xml:space="preserve">ećanje plaća i ostalih rashoda </w:t>
      </w:r>
      <w:r w:rsidR="006B72DD">
        <w:rPr>
          <w:rFonts w:ascii="Times New Roman" w:hAnsi="Times New Roman" w:cs="Times New Roman"/>
          <w:sz w:val="24"/>
          <w:szCs w:val="24"/>
        </w:rPr>
        <w:t>za zaposlenike</w:t>
      </w:r>
      <w:r w:rsidR="004B1A9B">
        <w:t>, troškova prijevoza i prihoda za besplatnu prehranu za sve učenike.</w:t>
      </w:r>
    </w:p>
    <w:p w14:paraId="17BFE5DD" w14:textId="1DF5D60B" w:rsidR="005C19F8" w:rsidRPr="0029787A" w:rsidRDefault="005C19F8" w:rsidP="00F21AB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7D4D1BB" w14:textId="77777777" w:rsidR="006A5059" w:rsidRPr="0029787A" w:rsidRDefault="005C19F8" w:rsidP="00300A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87A">
        <w:rPr>
          <w:rFonts w:ascii="Times New Roman" w:hAnsi="Times New Roman" w:cs="Times New Roman"/>
          <w:b/>
          <w:bCs/>
          <w:sz w:val="24"/>
          <w:szCs w:val="24"/>
        </w:rPr>
        <w:t>Skupina 64-Prihodi od imovine</w:t>
      </w:r>
    </w:p>
    <w:p w14:paraId="18205584" w14:textId="42B4326B" w:rsidR="00F22754" w:rsidRPr="0029787A" w:rsidRDefault="006A5059" w:rsidP="00300A29">
      <w:pPr>
        <w:jc w:val="both"/>
        <w:rPr>
          <w:rFonts w:ascii="Times New Roman" w:hAnsi="Times New Roman" w:cs="Times New Roman"/>
          <w:sz w:val="24"/>
          <w:szCs w:val="24"/>
        </w:rPr>
      </w:pPr>
      <w:r w:rsidRPr="0029787A">
        <w:rPr>
          <w:rFonts w:ascii="Times New Roman" w:hAnsi="Times New Roman" w:cs="Times New Roman"/>
          <w:sz w:val="24"/>
          <w:szCs w:val="24"/>
        </w:rPr>
        <w:t>Prihodi od</w:t>
      </w:r>
      <w:r w:rsidR="003B5D24" w:rsidRPr="0029787A">
        <w:rPr>
          <w:rFonts w:ascii="Times New Roman" w:hAnsi="Times New Roman" w:cs="Times New Roman"/>
          <w:sz w:val="24"/>
          <w:szCs w:val="24"/>
        </w:rPr>
        <w:t xml:space="preserve"> imovine ostvareni su u vrijednosti </w:t>
      </w:r>
      <w:r w:rsidR="006B72DD">
        <w:rPr>
          <w:rFonts w:ascii="Times New Roman" w:hAnsi="Times New Roman" w:cs="Times New Roman"/>
          <w:sz w:val="24"/>
          <w:szCs w:val="24"/>
        </w:rPr>
        <w:t>0,06 eura što je 0,03</w:t>
      </w:r>
      <w:r w:rsidR="003B5D24" w:rsidRPr="0029787A">
        <w:rPr>
          <w:rFonts w:ascii="Times New Roman" w:hAnsi="Times New Roman" w:cs="Times New Roman"/>
          <w:sz w:val="24"/>
          <w:szCs w:val="24"/>
        </w:rPr>
        <w:t xml:space="preserve">% plana, a </w:t>
      </w:r>
      <w:r w:rsidR="006B72DD">
        <w:rPr>
          <w:rFonts w:ascii="Times New Roman" w:hAnsi="Times New Roman" w:cs="Times New Roman"/>
          <w:sz w:val="24"/>
          <w:szCs w:val="24"/>
        </w:rPr>
        <w:t>odnosi se na prihode od  kamata (6413</w:t>
      </w:r>
      <w:r w:rsidR="004C22F0" w:rsidRPr="0029787A">
        <w:rPr>
          <w:rFonts w:ascii="Times New Roman" w:hAnsi="Times New Roman" w:cs="Times New Roman"/>
          <w:sz w:val="24"/>
          <w:szCs w:val="24"/>
        </w:rPr>
        <w:t xml:space="preserve">). </w:t>
      </w:r>
      <w:r w:rsidR="006B72DD">
        <w:rPr>
          <w:rFonts w:ascii="Times New Roman" w:hAnsi="Times New Roman" w:cs="Times New Roman"/>
          <w:sz w:val="24"/>
          <w:szCs w:val="24"/>
        </w:rPr>
        <w:t xml:space="preserve">. </w:t>
      </w:r>
      <w:r w:rsidR="006B72DD" w:rsidRPr="0029787A">
        <w:rPr>
          <w:rFonts w:ascii="Times New Roman" w:hAnsi="Times New Roman" w:cs="Times New Roman"/>
          <w:sz w:val="24"/>
          <w:szCs w:val="24"/>
        </w:rPr>
        <w:t>U odnosu na 2022. godinu o</w:t>
      </w:r>
      <w:r w:rsidR="006B72DD">
        <w:rPr>
          <w:rFonts w:ascii="Times New Roman" w:hAnsi="Times New Roman" w:cs="Times New Roman"/>
          <w:sz w:val="24"/>
          <w:szCs w:val="24"/>
        </w:rPr>
        <w:t xml:space="preserve">vi prihodi su manji </w:t>
      </w:r>
      <w:r w:rsidR="00F0682C">
        <w:rPr>
          <w:rFonts w:ascii="Times New Roman" w:hAnsi="Times New Roman" w:cs="Times New Roman"/>
          <w:sz w:val="24"/>
          <w:szCs w:val="24"/>
        </w:rPr>
        <w:t>za 99,9%.</w:t>
      </w:r>
    </w:p>
    <w:p w14:paraId="51BAB14C" w14:textId="5C76A1AC" w:rsidR="00121BFB" w:rsidRPr="0029787A" w:rsidRDefault="00121BFB" w:rsidP="00300A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87A">
        <w:rPr>
          <w:rFonts w:ascii="Times New Roman" w:hAnsi="Times New Roman" w:cs="Times New Roman"/>
          <w:b/>
          <w:bCs/>
          <w:sz w:val="24"/>
          <w:szCs w:val="24"/>
        </w:rPr>
        <w:t>Skupina 65-Prihodi od upravnih i administrativnih pristojbi, pristojbi po posebnim</w:t>
      </w:r>
      <w:r w:rsidR="00583612" w:rsidRPr="0029787A">
        <w:rPr>
          <w:rFonts w:ascii="Times New Roman" w:hAnsi="Times New Roman" w:cs="Times New Roman"/>
          <w:b/>
          <w:bCs/>
          <w:sz w:val="24"/>
          <w:szCs w:val="24"/>
        </w:rPr>
        <w:t xml:space="preserve"> propisima i naknada</w:t>
      </w:r>
    </w:p>
    <w:p w14:paraId="4C34A687" w14:textId="58648B71" w:rsidR="00450CFE" w:rsidRPr="00990578" w:rsidRDefault="0046436A" w:rsidP="00450CFE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29787A">
        <w:rPr>
          <w:rFonts w:ascii="Times New Roman" w:hAnsi="Times New Roman" w:cs="Times New Roman"/>
          <w:sz w:val="24"/>
          <w:szCs w:val="24"/>
        </w:rPr>
        <w:t xml:space="preserve">Ovi prihodi ostvareni su u iznosu od </w:t>
      </w:r>
      <w:r w:rsidR="002104C7">
        <w:rPr>
          <w:rFonts w:ascii="Times New Roman" w:hAnsi="Times New Roman" w:cs="Times New Roman"/>
          <w:sz w:val="24"/>
          <w:szCs w:val="24"/>
        </w:rPr>
        <w:t>16.080,50</w:t>
      </w:r>
      <w:r w:rsidR="00ED513B" w:rsidRPr="0029787A">
        <w:rPr>
          <w:rFonts w:ascii="Times New Roman" w:hAnsi="Times New Roman" w:cs="Times New Roman"/>
          <w:sz w:val="24"/>
          <w:szCs w:val="24"/>
        </w:rPr>
        <w:t xml:space="preserve"> eur</w:t>
      </w:r>
      <w:r w:rsidR="002104C7">
        <w:rPr>
          <w:rFonts w:ascii="Times New Roman" w:hAnsi="Times New Roman" w:cs="Times New Roman"/>
          <w:sz w:val="24"/>
          <w:szCs w:val="24"/>
        </w:rPr>
        <w:t>a</w:t>
      </w:r>
      <w:r w:rsidR="00B85B9D" w:rsidRPr="0029787A">
        <w:rPr>
          <w:rFonts w:ascii="Times New Roman" w:hAnsi="Times New Roman" w:cs="Times New Roman"/>
          <w:sz w:val="24"/>
          <w:szCs w:val="24"/>
        </w:rPr>
        <w:t>, što je ostvaren</w:t>
      </w:r>
      <w:r w:rsidR="006E3EBB" w:rsidRPr="0029787A">
        <w:rPr>
          <w:rFonts w:ascii="Times New Roman" w:hAnsi="Times New Roman" w:cs="Times New Roman"/>
          <w:sz w:val="24"/>
          <w:szCs w:val="24"/>
        </w:rPr>
        <w:t>je</w:t>
      </w:r>
      <w:r w:rsidR="002104C7">
        <w:rPr>
          <w:rFonts w:ascii="Times New Roman" w:hAnsi="Times New Roman" w:cs="Times New Roman"/>
          <w:sz w:val="24"/>
          <w:szCs w:val="24"/>
        </w:rPr>
        <w:t xml:space="preserve"> od 93,88</w:t>
      </w:r>
      <w:r w:rsidR="00B85B9D" w:rsidRPr="0029787A">
        <w:rPr>
          <w:rFonts w:ascii="Times New Roman" w:hAnsi="Times New Roman" w:cs="Times New Roman"/>
          <w:sz w:val="24"/>
          <w:szCs w:val="24"/>
        </w:rPr>
        <w:t xml:space="preserve">% od </w:t>
      </w:r>
      <w:r w:rsidR="00A76A00" w:rsidRPr="0029787A">
        <w:rPr>
          <w:rFonts w:ascii="Times New Roman" w:hAnsi="Times New Roman" w:cs="Times New Roman"/>
          <w:sz w:val="24"/>
          <w:szCs w:val="24"/>
        </w:rPr>
        <w:t>planiranog</w:t>
      </w:r>
      <w:r w:rsidR="006E3EBB" w:rsidRPr="0029787A">
        <w:rPr>
          <w:rFonts w:ascii="Times New Roman" w:hAnsi="Times New Roman" w:cs="Times New Roman"/>
          <w:sz w:val="24"/>
          <w:szCs w:val="24"/>
        </w:rPr>
        <w:t xml:space="preserve"> iznosa. </w:t>
      </w:r>
      <w:r w:rsidR="009A60CB" w:rsidRPr="0029787A">
        <w:rPr>
          <w:rFonts w:ascii="Times New Roman" w:hAnsi="Times New Roman" w:cs="Times New Roman"/>
          <w:sz w:val="24"/>
          <w:szCs w:val="24"/>
        </w:rPr>
        <w:t xml:space="preserve">Odnose se na </w:t>
      </w:r>
      <w:r w:rsidR="00067C60" w:rsidRPr="0029787A">
        <w:rPr>
          <w:rFonts w:ascii="Times New Roman" w:hAnsi="Times New Roman" w:cs="Times New Roman"/>
          <w:sz w:val="24"/>
          <w:szCs w:val="24"/>
        </w:rPr>
        <w:t xml:space="preserve">prihode od sufinanciranja </w:t>
      </w:r>
      <w:r w:rsidR="00450CFE">
        <w:rPr>
          <w:rFonts w:ascii="Times New Roman" w:hAnsi="Times New Roman" w:cs="Times New Roman"/>
          <w:sz w:val="24"/>
          <w:szCs w:val="24"/>
        </w:rPr>
        <w:t xml:space="preserve">glazbenog odjela i produženog boravka za usluge </w:t>
      </w:r>
      <w:r w:rsidR="00580081" w:rsidRPr="0029787A">
        <w:rPr>
          <w:rFonts w:ascii="Times New Roman" w:hAnsi="Times New Roman" w:cs="Times New Roman"/>
          <w:sz w:val="24"/>
          <w:szCs w:val="24"/>
        </w:rPr>
        <w:t>(6526)</w:t>
      </w:r>
      <w:r w:rsidR="00067C60" w:rsidRPr="0029787A">
        <w:rPr>
          <w:rFonts w:ascii="Times New Roman" w:hAnsi="Times New Roman" w:cs="Times New Roman"/>
          <w:sz w:val="24"/>
          <w:szCs w:val="24"/>
        </w:rPr>
        <w:t xml:space="preserve"> koju plaćaju roditelji.</w:t>
      </w:r>
      <w:r w:rsidR="00955244" w:rsidRPr="0029787A">
        <w:rPr>
          <w:rFonts w:ascii="Times New Roman" w:hAnsi="Times New Roman" w:cs="Times New Roman"/>
          <w:sz w:val="24"/>
          <w:szCs w:val="24"/>
        </w:rPr>
        <w:t xml:space="preserve"> </w:t>
      </w:r>
      <w:r w:rsidR="006E3EBB" w:rsidRPr="0029787A">
        <w:rPr>
          <w:rFonts w:ascii="Times New Roman" w:hAnsi="Times New Roman" w:cs="Times New Roman"/>
          <w:sz w:val="24"/>
          <w:szCs w:val="24"/>
        </w:rPr>
        <w:t xml:space="preserve">U odnosu na </w:t>
      </w:r>
      <w:r w:rsidR="009A60CB" w:rsidRPr="0029787A">
        <w:rPr>
          <w:rFonts w:ascii="Times New Roman" w:hAnsi="Times New Roman" w:cs="Times New Roman"/>
          <w:sz w:val="24"/>
          <w:szCs w:val="24"/>
        </w:rPr>
        <w:t xml:space="preserve">izvršenje iz 2022. godine </w:t>
      </w:r>
      <w:r w:rsidR="00450CFE">
        <w:rPr>
          <w:rFonts w:ascii="Times New Roman" w:hAnsi="Times New Roman" w:cs="Times New Roman"/>
          <w:sz w:val="24"/>
          <w:szCs w:val="24"/>
        </w:rPr>
        <w:t>u 2023. godini je ostvareno 76</w:t>
      </w:r>
      <w:r w:rsidR="00B4629A" w:rsidRPr="0029787A">
        <w:rPr>
          <w:rFonts w:ascii="Times New Roman" w:hAnsi="Times New Roman" w:cs="Times New Roman"/>
          <w:sz w:val="24"/>
          <w:szCs w:val="24"/>
        </w:rPr>
        <w:t>%</w:t>
      </w:r>
      <w:r w:rsidR="00450CFE">
        <w:rPr>
          <w:rFonts w:ascii="Times New Roman" w:hAnsi="Times New Roman" w:cs="Times New Roman"/>
          <w:sz w:val="24"/>
          <w:szCs w:val="24"/>
        </w:rPr>
        <w:t xml:space="preserve"> manje</w:t>
      </w:r>
      <w:r w:rsidR="00B4629A" w:rsidRPr="0029787A">
        <w:rPr>
          <w:rFonts w:ascii="Times New Roman" w:hAnsi="Times New Roman" w:cs="Times New Roman"/>
          <w:sz w:val="24"/>
          <w:szCs w:val="24"/>
        </w:rPr>
        <w:t xml:space="preserve"> prihoda zbog </w:t>
      </w:r>
      <w:r w:rsidR="00450CFE">
        <w:rPr>
          <w:rFonts w:ascii="Times New Roman" w:hAnsi="Times New Roman" w:cs="Times New Roman"/>
          <w:sz w:val="24"/>
          <w:szCs w:val="24"/>
        </w:rPr>
        <w:t xml:space="preserve">toga što </w:t>
      </w:r>
      <w:r w:rsidR="00450CFE">
        <w:rPr>
          <w:rFonts w:ascii="Times New Roman" w:hAnsi="Times New Roman" w:cs="Times New Roman"/>
          <w:sz w:val="24"/>
          <w:szCs w:val="24"/>
          <w:lang w:eastAsia="hr-HR"/>
        </w:rPr>
        <w:t>roditelji više ne plaćaju školsku kuhinju jer je besplatna za sve učenike.</w:t>
      </w:r>
      <w:r w:rsidR="00450CFE" w:rsidRPr="0099057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01168880" w14:textId="1A4BB620" w:rsidR="00583612" w:rsidRPr="0029787A" w:rsidRDefault="00583612" w:rsidP="00300A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29819D" w14:textId="77777777" w:rsidR="002104C7" w:rsidRDefault="002104C7" w:rsidP="00300A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78A00" w14:textId="4AEF6CB0" w:rsidR="0035494E" w:rsidRPr="0029787A" w:rsidRDefault="0035494E" w:rsidP="00300A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87A">
        <w:rPr>
          <w:rFonts w:ascii="Times New Roman" w:hAnsi="Times New Roman" w:cs="Times New Roman"/>
          <w:b/>
          <w:bCs/>
          <w:sz w:val="24"/>
          <w:szCs w:val="24"/>
        </w:rPr>
        <w:t>Skupina 66-prihodi od prodaje proizvoda i robe te pruženih usluga i prihodi od donacija</w:t>
      </w:r>
    </w:p>
    <w:p w14:paraId="1A1F78C9" w14:textId="01D50C0E" w:rsidR="00F37125" w:rsidRPr="003F68B8" w:rsidRDefault="002104C7" w:rsidP="00F227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prodaje proizvoda i robe te pruženih usluga i prihodi od donacija ostvareni su u iznosu od 4.</w:t>
      </w:r>
      <w:r w:rsidR="000C74D5">
        <w:rPr>
          <w:rFonts w:ascii="Times New Roman" w:hAnsi="Times New Roman" w:cs="Times New Roman"/>
          <w:sz w:val="24"/>
          <w:szCs w:val="24"/>
        </w:rPr>
        <w:t>394,88 eura što je 62,78% plana, manji  u odnosu na 2022.godinu za 28,56%.</w:t>
      </w:r>
      <w:r w:rsidR="0074294B">
        <w:rPr>
          <w:rFonts w:ascii="Times New Roman" w:hAnsi="Times New Roman" w:cs="Times New Roman"/>
          <w:sz w:val="24"/>
          <w:szCs w:val="24"/>
        </w:rPr>
        <w:t xml:space="preserve"> manje smo dobili donacija i </w:t>
      </w:r>
      <w:r w:rsidR="00456AD7">
        <w:rPr>
          <w:rFonts w:ascii="Times New Roman" w:hAnsi="Times New Roman" w:cs="Times New Roman"/>
          <w:sz w:val="24"/>
          <w:szCs w:val="24"/>
        </w:rPr>
        <w:t xml:space="preserve">bilo je manje iznajmljivanja školskog </w:t>
      </w:r>
      <w:r w:rsidR="0074294B">
        <w:rPr>
          <w:rFonts w:ascii="Times New Roman" w:hAnsi="Times New Roman" w:cs="Times New Roman"/>
          <w:sz w:val="24"/>
          <w:szCs w:val="24"/>
        </w:rPr>
        <w:t>prostora.</w:t>
      </w:r>
    </w:p>
    <w:p w14:paraId="7118FEE0" w14:textId="050B07DA" w:rsidR="00AC517D" w:rsidRPr="00990578" w:rsidRDefault="005C7C22" w:rsidP="00F227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0578">
        <w:rPr>
          <w:rFonts w:ascii="Times New Roman" w:hAnsi="Times New Roman" w:cs="Times New Roman"/>
          <w:b/>
          <w:bCs/>
          <w:sz w:val="24"/>
          <w:szCs w:val="24"/>
        </w:rPr>
        <w:t>Skupina 67-Prihodi iz proračuna</w:t>
      </w:r>
    </w:p>
    <w:p w14:paraId="388F7511" w14:textId="7378945B" w:rsidR="00816395" w:rsidRPr="00990578" w:rsidRDefault="00916F50" w:rsidP="00816395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990578">
        <w:rPr>
          <w:rFonts w:ascii="Times New Roman" w:hAnsi="Times New Roman" w:cs="Times New Roman"/>
          <w:sz w:val="24"/>
          <w:szCs w:val="24"/>
        </w:rPr>
        <w:t>Prihodi iz proračuna sastoje se od prihoda za financiranje redovne djelatnosti korisnika proračuna</w:t>
      </w:r>
      <w:r w:rsidR="006517F2" w:rsidRPr="00990578">
        <w:rPr>
          <w:rFonts w:ascii="Times New Roman" w:hAnsi="Times New Roman" w:cs="Times New Roman"/>
          <w:sz w:val="24"/>
          <w:szCs w:val="24"/>
        </w:rPr>
        <w:t>, odnosno prihoda za financiranje rashoda poslovanja (6711)</w:t>
      </w:r>
      <w:r w:rsidR="0052424B">
        <w:rPr>
          <w:rFonts w:ascii="Times New Roman" w:hAnsi="Times New Roman" w:cs="Times New Roman"/>
          <w:sz w:val="24"/>
          <w:szCs w:val="24"/>
        </w:rPr>
        <w:t xml:space="preserve"> i prihoda za nabavu nefinancijske imovine, odnosno prihoda za financiranje rashoda za nabavu nefinancijske imovine ( 6712).</w:t>
      </w:r>
      <w:r w:rsidR="00560BDA" w:rsidRPr="00990578">
        <w:rPr>
          <w:rFonts w:ascii="Times New Roman" w:hAnsi="Times New Roman" w:cs="Times New Roman"/>
          <w:sz w:val="24"/>
          <w:szCs w:val="24"/>
        </w:rPr>
        <w:t xml:space="preserve">Ukupno su ostvareni u iznosu od </w:t>
      </w:r>
      <w:r w:rsidR="0052424B">
        <w:rPr>
          <w:rFonts w:ascii="Times New Roman" w:hAnsi="Times New Roman" w:cs="Times New Roman"/>
          <w:sz w:val="24"/>
          <w:szCs w:val="24"/>
        </w:rPr>
        <w:t xml:space="preserve"> 127.990,62</w:t>
      </w:r>
      <w:r w:rsidR="00560BDA" w:rsidRPr="00990578">
        <w:rPr>
          <w:rFonts w:ascii="Times New Roman" w:hAnsi="Times New Roman" w:cs="Times New Roman"/>
          <w:sz w:val="24"/>
          <w:szCs w:val="24"/>
        </w:rPr>
        <w:t xml:space="preserve"> eura </w:t>
      </w:r>
      <w:r w:rsidR="00484071" w:rsidRPr="00990578">
        <w:rPr>
          <w:rFonts w:ascii="Times New Roman" w:hAnsi="Times New Roman" w:cs="Times New Roman"/>
          <w:sz w:val="24"/>
          <w:szCs w:val="24"/>
        </w:rPr>
        <w:t xml:space="preserve">što je </w:t>
      </w:r>
      <w:r w:rsidR="0052424B">
        <w:rPr>
          <w:rFonts w:ascii="Times New Roman" w:hAnsi="Times New Roman" w:cs="Times New Roman"/>
          <w:sz w:val="24"/>
          <w:szCs w:val="24"/>
        </w:rPr>
        <w:t>93,80</w:t>
      </w:r>
      <w:r w:rsidR="00484071" w:rsidRPr="00990578">
        <w:rPr>
          <w:rFonts w:ascii="Times New Roman" w:hAnsi="Times New Roman" w:cs="Times New Roman"/>
          <w:sz w:val="24"/>
          <w:szCs w:val="24"/>
        </w:rPr>
        <w:t>% plan</w:t>
      </w:r>
      <w:r w:rsidR="006E67FA" w:rsidRPr="00990578">
        <w:rPr>
          <w:rFonts w:ascii="Times New Roman" w:hAnsi="Times New Roman" w:cs="Times New Roman"/>
          <w:sz w:val="24"/>
          <w:szCs w:val="24"/>
        </w:rPr>
        <w:t>a za 2023. godinu.</w:t>
      </w:r>
      <w:r w:rsidR="00816395" w:rsidRPr="0099057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A176B6" w:rsidRPr="00990578">
        <w:rPr>
          <w:rFonts w:ascii="Times New Roman" w:hAnsi="Times New Roman" w:cs="Times New Roman"/>
          <w:sz w:val="24"/>
          <w:szCs w:val="24"/>
          <w:lang w:eastAsia="hr-HR"/>
        </w:rPr>
        <w:t>U odnosu na 2022. god</w:t>
      </w:r>
      <w:r w:rsidR="0052424B">
        <w:rPr>
          <w:rFonts w:ascii="Times New Roman" w:hAnsi="Times New Roman" w:cs="Times New Roman"/>
          <w:sz w:val="24"/>
          <w:szCs w:val="24"/>
          <w:lang w:eastAsia="hr-HR"/>
        </w:rPr>
        <w:t xml:space="preserve">inu navedeni prihodi su manji </w:t>
      </w:r>
      <w:r w:rsidR="00A176B6" w:rsidRPr="0099057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C4B80" w:rsidRPr="00990578">
        <w:rPr>
          <w:rFonts w:ascii="Times New Roman" w:hAnsi="Times New Roman" w:cs="Times New Roman"/>
          <w:sz w:val="24"/>
          <w:szCs w:val="24"/>
          <w:lang w:eastAsia="hr-HR"/>
        </w:rPr>
        <w:t xml:space="preserve">za </w:t>
      </w:r>
      <w:r w:rsidR="002660AA">
        <w:rPr>
          <w:rFonts w:ascii="Times New Roman" w:hAnsi="Times New Roman" w:cs="Times New Roman"/>
          <w:sz w:val="24"/>
          <w:szCs w:val="24"/>
          <w:lang w:eastAsia="hr-HR"/>
        </w:rPr>
        <w:t>6,75%.</w:t>
      </w:r>
    </w:p>
    <w:p w14:paraId="728ACDC3" w14:textId="77777777" w:rsidR="00816395" w:rsidRPr="00990578" w:rsidRDefault="00816395" w:rsidP="008163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EA3E4AB" w14:textId="725BE4E4" w:rsidR="009C49DB" w:rsidRPr="00990578" w:rsidRDefault="009C49DB" w:rsidP="00F227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0578">
        <w:rPr>
          <w:rFonts w:ascii="Times New Roman" w:hAnsi="Times New Roman" w:cs="Times New Roman"/>
          <w:b/>
          <w:bCs/>
          <w:sz w:val="24"/>
          <w:szCs w:val="24"/>
        </w:rPr>
        <w:t>Skupina</w:t>
      </w:r>
      <w:r w:rsidR="002B3ACB" w:rsidRPr="00990578">
        <w:rPr>
          <w:rFonts w:ascii="Times New Roman" w:hAnsi="Times New Roman" w:cs="Times New Roman"/>
          <w:b/>
          <w:bCs/>
          <w:sz w:val="24"/>
          <w:szCs w:val="24"/>
        </w:rPr>
        <w:t xml:space="preserve"> 68-Kazne, upravne mjere i ostali prihodi</w:t>
      </w:r>
    </w:p>
    <w:p w14:paraId="60C3F733" w14:textId="7516AD33" w:rsidR="009D3E34" w:rsidRPr="00990578" w:rsidRDefault="00345B94" w:rsidP="009D3E34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Nema ostvarenih prihoda </w:t>
      </w:r>
      <w:r w:rsidR="00841547" w:rsidRPr="00990578">
        <w:rPr>
          <w:rFonts w:ascii="Times New Roman" w:hAnsi="Times New Roman" w:cs="Times New Roman"/>
          <w:sz w:val="24"/>
          <w:szCs w:val="24"/>
        </w:rPr>
        <w:t>(6831)</w:t>
      </w:r>
      <w:r w:rsidR="00E1320C" w:rsidRPr="00990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kao ni planiranih.</w:t>
      </w:r>
      <w:r w:rsidR="009D3E34" w:rsidRPr="00990578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E74C80" w:rsidRPr="00990578">
        <w:rPr>
          <w:rFonts w:ascii="Times New Roman" w:hAnsi="Times New Roman" w:cs="Times New Roman"/>
          <w:sz w:val="24"/>
          <w:szCs w:val="24"/>
          <w:lang w:eastAsia="hr-HR"/>
        </w:rPr>
        <w:t xml:space="preserve"> U 2022. godini ih nismo imali.</w:t>
      </w:r>
    </w:p>
    <w:p w14:paraId="052AC027" w14:textId="58EF55D7" w:rsidR="001D600E" w:rsidRPr="00990578" w:rsidRDefault="001D600E" w:rsidP="00F2275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4478"/>
        <w:gridCol w:w="1126"/>
        <w:gridCol w:w="1972"/>
        <w:gridCol w:w="1412"/>
      </w:tblGrid>
      <w:tr w:rsidR="00973572" w:rsidRPr="00990578" w14:paraId="7D65BFDC" w14:textId="77777777" w:rsidTr="009D2F75">
        <w:trPr>
          <w:trHeight w:val="264"/>
        </w:trPr>
        <w:tc>
          <w:tcPr>
            <w:tcW w:w="838" w:type="dxa"/>
          </w:tcPr>
          <w:p w14:paraId="007EF7A4" w14:textId="77777777" w:rsidR="00E213EF" w:rsidRPr="00990578" w:rsidRDefault="00E213EF" w:rsidP="00E2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9057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Red.br</w:t>
            </w:r>
          </w:p>
        </w:tc>
        <w:tc>
          <w:tcPr>
            <w:tcW w:w="4544" w:type="dxa"/>
          </w:tcPr>
          <w:p w14:paraId="21EEF17F" w14:textId="77777777" w:rsidR="00E213EF" w:rsidRPr="00990578" w:rsidRDefault="00E213EF" w:rsidP="00E213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9057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Naziv prihoda</w:t>
            </w:r>
          </w:p>
        </w:tc>
        <w:tc>
          <w:tcPr>
            <w:tcW w:w="1134" w:type="dxa"/>
            <w:vAlign w:val="center"/>
          </w:tcPr>
          <w:p w14:paraId="66B36157" w14:textId="77777777" w:rsidR="00E213EF" w:rsidRPr="00990578" w:rsidRDefault="00E213EF" w:rsidP="00E2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9057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konto</w:t>
            </w:r>
          </w:p>
        </w:tc>
        <w:tc>
          <w:tcPr>
            <w:tcW w:w="1984" w:type="dxa"/>
          </w:tcPr>
          <w:p w14:paraId="0AAA2189" w14:textId="77777777" w:rsidR="00E213EF" w:rsidRPr="00990578" w:rsidRDefault="00E213EF" w:rsidP="00E2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9057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iznos</w:t>
            </w:r>
          </w:p>
        </w:tc>
        <w:tc>
          <w:tcPr>
            <w:tcW w:w="1418" w:type="dxa"/>
          </w:tcPr>
          <w:p w14:paraId="3BD5352C" w14:textId="44CCC64D" w:rsidR="00E213EF" w:rsidRPr="00990578" w:rsidRDefault="0013535C" w:rsidP="00E2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9057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I</w:t>
            </w:r>
            <w:r w:rsidR="00E213EF" w:rsidRPr="0099057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ndeks</w:t>
            </w:r>
            <w:r w:rsidRPr="0099057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izvršenja</w:t>
            </w:r>
          </w:p>
        </w:tc>
      </w:tr>
      <w:tr w:rsidR="00973572" w:rsidRPr="00990578" w14:paraId="3FC689BA" w14:textId="77777777" w:rsidTr="009D2F75">
        <w:trPr>
          <w:trHeight w:val="264"/>
        </w:trPr>
        <w:tc>
          <w:tcPr>
            <w:tcW w:w="838" w:type="dxa"/>
          </w:tcPr>
          <w:p w14:paraId="437E43D2" w14:textId="77777777" w:rsidR="00E213EF" w:rsidRPr="00990578" w:rsidRDefault="00E213EF" w:rsidP="00E2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9057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544" w:type="dxa"/>
          </w:tcPr>
          <w:p w14:paraId="5DFCB484" w14:textId="016570BC" w:rsidR="00E213EF" w:rsidRPr="00990578" w:rsidRDefault="00E213EF" w:rsidP="00E2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9057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Pomoć iz </w:t>
            </w:r>
            <w:r w:rsidR="00202973" w:rsidRPr="0099057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inozemstva</w:t>
            </w:r>
            <w:r w:rsidR="00973572" w:rsidRPr="0099057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(darovnice) i od subjekata unutar općeg proračuna</w:t>
            </w:r>
          </w:p>
        </w:tc>
        <w:tc>
          <w:tcPr>
            <w:tcW w:w="1134" w:type="dxa"/>
            <w:vAlign w:val="center"/>
          </w:tcPr>
          <w:p w14:paraId="42A61501" w14:textId="49DAEAEF" w:rsidR="00E213EF" w:rsidRPr="00990578" w:rsidRDefault="00E213EF" w:rsidP="00E2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9057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63</w:t>
            </w:r>
          </w:p>
        </w:tc>
        <w:tc>
          <w:tcPr>
            <w:tcW w:w="1984" w:type="dxa"/>
          </w:tcPr>
          <w:p w14:paraId="78809429" w14:textId="14ACF9B6" w:rsidR="00E213EF" w:rsidRPr="00990578" w:rsidRDefault="0025501E" w:rsidP="00E213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2.049.381,87</w:t>
            </w:r>
          </w:p>
        </w:tc>
        <w:tc>
          <w:tcPr>
            <w:tcW w:w="1418" w:type="dxa"/>
          </w:tcPr>
          <w:p w14:paraId="77C0F010" w14:textId="3A3A2FE3" w:rsidR="00E213EF" w:rsidRPr="00990578" w:rsidRDefault="00761E57" w:rsidP="002550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9057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97,</w:t>
            </w:r>
            <w:r w:rsidR="0025501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89</w:t>
            </w:r>
            <w:r w:rsidR="0033781C" w:rsidRPr="0099057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%</w:t>
            </w:r>
          </w:p>
        </w:tc>
      </w:tr>
      <w:tr w:rsidR="00973572" w:rsidRPr="00990578" w14:paraId="4F4A1849" w14:textId="77777777" w:rsidTr="009D2F75">
        <w:trPr>
          <w:trHeight w:val="264"/>
        </w:trPr>
        <w:tc>
          <w:tcPr>
            <w:tcW w:w="838" w:type="dxa"/>
          </w:tcPr>
          <w:p w14:paraId="3E9E7E69" w14:textId="77777777" w:rsidR="00E213EF" w:rsidRPr="00990578" w:rsidRDefault="00E213EF" w:rsidP="00E2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9057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544" w:type="dxa"/>
          </w:tcPr>
          <w:p w14:paraId="616453D1" w14:textId="1118B453" w:rsidR="00E213EF" w:rsidRPr="00990578" w:rsidRDefault="00E213EF" w:rsidP="00E2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9057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Prihodi od imovine</w:t>
            </w:r>
          </w:p>
        </w:tc>
        <w:tc>
          <w:tcPr>
            <w:tcW w:w="1134" w:type="dxa"/>
            <w:vAlign w:val="center"/>
          </w:tcPr>
          <w:p w14:paraId="60F05250" w14:textId="7BCA8C6C" w:rsidR="00E213EF" w:rsidRPr="00990578" w:rsidRDefault="00E213EF" w:rsidP="00E2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9057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1984" w:type="dxa"/>
          </w:tcPr>
          <w:p w14:paraId="7E92BBA6" w14:textId="74E902A3" w:rsidR="00E213EF" w:rsidRPr="00990578" w:rsidRDefault="0025501E" w:rsidP="00E213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0,06</w:t>
            </w:r>
          </w:p>
        </w:tc>
        <w:tc>
          <w:tcPr>
            <w:tcW w:w="1418" w:type="dxa"/>
          </w:tcPr>
          <w:p w14:paraId="5E35C16B" w14:textId="38BF9BD1" w:rsidR="00E213EF" w:rsidRPr="00990578" w:rsidRDefault="0025501E" w:rsidP="00E213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0,03%</w:t>
            </w:r>
          </w:p>
        </w:tc>
      </w:tr>
      <w:tr w:rsidR="00973572" w:rsidRPr="00990578" w14:paraId="1DF513AF" w14:textId="77777777" w:rsidTr="009D2F75">
        <w:trPr>
          <w:trHeight w:val="264"/>
        </w:trPr>
        <w:tc>
          <w:tcPr>
            <w:tcW w:w="838" w:type="dxa"/>
          </w:tcPr>
          <w:p w14:paraId="6892905E" w14:textId="77777777" w:rsidR="00E213EF" w:rsidRPr="00990578" w:rsidRDefault="00E213EF" w:rsidP="00E2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9057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544" w:type="dxa"/>
          </w:tcPr>
          <w:p w14:paraId="59B95CE9" w14:textId="0D6D7C62" w:rsidR="00E213EF" w:rsidRPr="00990578" w:rsidRDefault="00E213EF" w:rsidP="00E2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9057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Prihodi </w:t>
            </w:r>
            <w:r w:rsidR="007A0D6E" w:rsidRPr="0099057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od upravnih i administrativnih pristojbi, pristojbi po posebnim propisima i naknada</w:t>
            </w:r>
          </w:p>
        </w:tc>
        <w:tc>
          <w:tcPr>
            <w:tcW w:w="1134" w:type="dxa"/>
            <w:vAlign w:val="center"/>
          </w:tcPr>
          <w:p w14:paraId="372E2CAA" w14:textId="628124B0" w:rsidR="00E213EF" w:rsidRPr="00990578" w:rsidRDefault="00E213EF" w:rsidP="00E2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9057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65</w:t>
            </w:r>
          </w:p>
        </w:tc>
        <w:tc>
          <w:tcPr>
            <w:tcW w:w="1984" w:type="dxa"/>
          </w:tcPr>
          <w:p w14:paraId="01743D52" w14:textId="2FF10AD2" w:rsidR="00E213EF" w:rsidRPr="00990578" w:rsidRDefault="0025501E" w:rsidP="00E213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16.080,50</w:t>
            </w:r>
          </w:p>
        </w:tc>
        <w:tc>
          <w:tcPr>
            <w:tcW w:w="1418" w:type="dxa"/>
          </w:tcPr>
          <w:p w14:paraId="636111CF" w14:textId="310E81C8" w:rsidR="00E213EF" w:rsidRPr="00990578" w:rsidRDefault="0025501E" w:rsidP="00E213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93,88</w:t>
            </w:r>
            <w:r w:rsidR="00EB3257" w:rsidRPr="0099057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%</w:t>
            </w:r>
          </w:p>
        </w:tc>
      </w:tr>
      <w:tr w:rsidR="00BC76B9" w:rsidRPr="00990578" w14:paraId="66FB6B20" w14:textId="77777777" w:rsidTr="009D2F75">
        <w:trPr>
          <w:trHeight w:val="264"/>
        </w:trPr>
        <w:tc>
          <w:tcPr>
            <w:tcW w:w="838" w:type="dxa"/>
          </w:tcPr>
          <w:p w14:paraId="43452644" w14:textId="0DC3FABD" w:rsidR="00BC76B9" w:rsidRPr="00990578" w:rsidRDefault="00BC76B9" w:rsidP="00E2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9057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4. </w:t>
            </w:r>
          </w:p>
        </w:tc>
        <w:tc>
          <w:tcPr>
            <w:tcW w:w="4544" w:type="dxa"/>
          </w:tcPr>
          <w:p w14:paraId="4ED9DF6F" w14:textId="52C916A7" w:rsidR="00BC76B9" w:rsidRPr="00990578" w:rsidRDefault="00CB3447" w:rsidP="00E2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9057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Prihodi od prodaje proizvoda i robe te pruženih usluge i prihodi od donacija</w:t>
            </w:r>
          </w:p>
        </w:tc>
        <w:tc>
          <w:tcPr>
            <w:tcW w:w="1134" w:type="dxa"/>
            <w:vAlign w:val="center"/>
          </w:tcPr>
          <w:p w14:paraId="175D9246" w14:textId="40892FAD" w:rsidR="00BC76B9" w:rsidRPr="00990578" w:rsidRDefault="00CB3447" w:rsidP="00E2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9057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66</w:t>
            </w:r>
          </w:p>
        </w:tc>
        <w:tc>
          <w:tcPr>
            <w:tcW w:w="1984" w:type="dxa"/>
          </w:tcPr>
          <w:p w14:paraId="7BC13EF3" w14:textId="4BDF64D9" w:rsidR="00BC76B9" w:rsidRPr="00990578" w:rsidRDefault="0025501E" w:rsidP="00E213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4.394,88</w:t>
            </w:r>
          </w:p>
        </w:tc>
        <w:tc>
          <w:tcPr>
            <w:tcW w:w="1418" w:type="dxa"/>
          </w:tcPr>
          <w:p w14:paraId="3F98E0F8" w14:textId="1266AA24" w:rsidR="00BC76B9" w:rsidRPr="00990578" w:rsidRDefault="0025501E" w:rsidP="00E213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62,78</w:t>
            </w:r>
            <w:r w:rsidR="00DD2589" w:rsidRPr="0099057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%</w:t>
            </w:r>
          </w:p>
        </w:tc>
      </w:tr>
      <w:tr w:rsidR="00973572" w:rsidRPr="00990578" w14:paraId="3B23A167" w14:textId="77777777" w:rsidTr="009D2F75">
        <w:trPr>
          <w:trHeight w:val="528"/>
        </w:trPr>
        <w:tc>
          <w:tcPr>
            <w:tcW w:w="838" w:type="dxa"/>
          </w:tcPr>
          <w:p w14:paraId="5E00EB93" w14:textId="601FDF99" w:rsidR="00E213EF" w:rsidRPr="00990578" w:rsidRDefault="00DD2589" w:rsidP="00E2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9057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544" w:type="dxa"/>
          </w:tcPr>
          <w:p w14:paraId="645A5FC9" w14:textId="3171EA72" w:rsidR="00E213EF" w:rsidRPr="00990578" w:rsidRDefault="00E213EF" w:rsidP="00E2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9057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Prihodi iz proračuna za financiranje redovne djelatnosti</w:t>
            </w:r>
          </w:p>
        </w:tc>
        <w:tc>
          <w:tcPr>
            <w:tcW w:w="1134" w:type="dxa"/>
            <w:vAlign w:val="center"/>
          </w:tcPr>
          <w:p w14:paraId="7A1985BF" w14:textId="677BC4CF" w:rsidR="00E213EF" w:rsidRPr="00990578" w:rsidRDefault="00E213EF" w:rsidP="00E2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9057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67</w:t>
            </w:r>
          </w:p>
        </w:tc>
        <w:tc>
          <w:tcPr>
            <w:tcW w:w="1984" w:type="dxa"/>
          </w:tcPr>
          <w:p w14:paraId="402CE786" w14:textId="0BC01F05" w:rsidR="00E213EF" w:rsidRPr="00990578" w:rsidRDefault="0025501E" w:rsidP="00E213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127.990,62</w:t>
            </w:r>
          </w:p>
        </w:tc>
        <w:tc>
          <w:tcPr>
            <w:tcW w:w="1418" w:type="dxa"/>
          </w:tcPr>
          <w:p w14:paraId="15BAD254" w14:textId="4BC5BDBB" w:rsidR="00E213EF" w:rsidRPr="00990578" w:rsidRDefault="0025501E" w:rsidP="00E213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93,80</w:t>
            </w:r>
            <w:r w:rsidR="006C649A" w:rsidRPr="0099057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%</w:t>
            </w:r>
          </w:p>
        </w:tc>
      </w:tr>
      <w:tr w:rsidR="00973572" w:rsidRPr="00990578" w14:paraId="3508F771" w14:textId="77777777" w:rsidTr="009D2F75">
        <w:trPr>
          <w:trHeight w:val="264"/>
        </w:trPr>
        <w:tc>
          <w:tcPr>
            <w:tcW w:w="838" w:type="dxa"/>
          </w:tcPr>
          <w:p w14:paraId="60F3D1CB" w14:textId="2E6D7B6C" w:rsidR="00E213EF" w:rsidRPr="00990578" w:rsidRDefault="0054270F" w:rsidP="00E2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9057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544" w:type="dxa"/>
          </w:tcPr>
          <w:p w14:paraId="04C44FBC" w14:textId="3BA9A037" w:rsidR="00E213EF" w:rsidRPr="00990578" w:rsidRDefault="0054270F" w:rsidP="00E2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9057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Kazne, upravne mjere i ostali prihodi</w:t>
            </w:r>
          </w:p>
        </w:tc>
        <w:tc>
          <w:tcPr>
            <w:tcW w:w="1134" w:type="dxa"/>
            <w:vAlign w:val="center"/>
          </w:tcPr>
          <w:p w14:paraId="7A33A3DA" w14:textId="3924A21F" w:rsidR="00E213EF" w:rsidRPr="00990578" w:rsidRDefault="00E213EF" w:rsidP="00E2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9057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68</w:t>
            </w:r>
          </w:p>
        </w:tc>
        <w:tc>
          <w:tcPr>
            <w:tcW w:w="1984" w:type="dxa"/>
          </w:tcPr>
          <w:p w14:paraId="2A21EA1E" w14:textId="3D6667C5" w:rsidR="00E213EF" w:rsidRPr="00990578" w:rsidRDefault="0025501E" w:rsidP="00E213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</w:tcPr>
          <w:p w14:paraId="721F478E" w14:textId="312E1782" w:rsidR="00E213EF" w:rsidRPr="00990578" w:rsidRDefault="0025501E" w:rsidP="00E213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973572" w:rsidRPr="00990578" w14:paraId="08228B69" w14:textId="77777777" w:rsidTr="009D2F75">
        <w:trPr>
          <w:trHeight w:val="264"/>
        </w:trPr>
        <w:tc>
          <w:tcPr>
            <w:tcW w:w="838" w:type="dxa"/>
          </w:tcPr>
          <w:p w14:paraId="34097069" w14:textId="77777777" w:rsidR="00E213EF" w:rsidRPr="00990578" w:rsidRDefault="00E213EF" w:rsidP="00E2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44" w:type="dxa"/>
          </w:tcPr>
          <w:p w14:paraId="692A351F" w14:textId="77777777" w:rsidR="00E213EF" w:rsidRPr="00990578" w:rsidRDefault="00E213EF" w:rsidP="00E213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9057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Ukupno prihodi:</w:t>
            </w:r>
          </w:p>
        </w:tc>
        <w:tc>
          <w:tcPr>
            <w:tcW w:w="1134" w:type="dxa"/>
            <w:vAlign w:val="center"/>
          </w:tcPr>
          <w:p w14:paraId="1344E352" w14:textId="77777777" w:rsidR="00E213EF" w:rsidRPr="00990578" w:rsidRDefault="00E213EF" w:rsidP="00E2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</w:tcPr>
          <w:p w14:paraId="54D17A55" w14:textId="2B37A23D" w:rsidR="00E213EF" w:rsidRPr="00990578" w:rsidRDefault="0025501E" w:rsidP="00E213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2.197.847,93</w:t>
            </w:r>
          </w:p>
        </w:tc>
        <w:tc>
          <w:tcPr>
            <w:tcW w:w="1418" w:type="dxa"/>
          </w:tcPr>
          <w:p w14:paraId="034EFBE7" w14:textId="34A24AB6" w:rsidR="00E213EF" w:rsidRPr="00990578" w:rsidRDefault="0025501E" w:rsidP="00E213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97,49</w:t>
            </w:r>
            <w:r w:rsidR="003D7B56" w:rsidRPr="0099057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%</w:t>
            </w:r>
          </w:p>
        </w:tc>
      </w:tr>
    </w:tbl>
    <w:p w14:paraId="16DAB10A" w14:textId="77777777" w:rsidR="005F5AF5" w:rsidRPr="00990578" w:rsidRDefault="005F5AF5" w:rsidP="00F227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B51B78" w14:textId="73CCBD53" w:rsidR="00015937" w:rsidRPr="00990578" w:rsidRDefault="00015937" w:rsidP="00015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565ADA" w14:textId="77777777" w:rsidR="00054EF4" w:rsidRDefault="00054EF4" w:rsidP="00B97F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5771A3" w14:textId="77777777" w:rsidR="00054EF4" w:rsidRDefault="00054EF4" w:rsidP="00B97F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F0668F" w14:textId="77777777" w:rsidR="00054EF4" w:rsidRDefault="00054EF4" w:rsidP="00B97F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2946BD" w14:textId="77777777" w:rsidR="00054EF4" w:rsidRDefault="00054EF4" w:rsidP="00B97F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1C9F5A" w14:textId="77777777" w:rsidR="00054EF4" w:rsidRDefault="00054EF4" w:rsidP="00B97F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06983C" w14:textId="128BB7F3" w:rsidR="00B97F86" w:rsidRPr="00990578" w:rsidRDefault="00B97F86" w:rsidP="00B97F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578">
        <w:rPr>
          <w:rFonts w:ascii="Times New Roman" w:hAnsi="Times New Roman" w:cs="Times New Roman"/>
          <w:b/>
          <w:sz w:val="24"/>
          <w:szCs w:val="24"/>
        </w:rPr>
        <w:lastRenderedPageBreak/>
        <w:t>RASHODI I IZDACI</w:t>
      </w:r>
    </w:p>
    <w:p w14:paraId="78421BF0" w14:textId="3C56D7C1" w:rsidR="00637761" w:rsidRPr="00A14779" w:rsidRDefault="00AA2A44" w:rsidP="00AA2A44">
      <w:pPr>
        <w:jc w:val="both"/>
        <w:rPr>
          <w:rFonts w:ascii="Times New Roman" w:hAnsi="Times New Roman" w:cs="Times New Roman"/>
          <w:sz w:val="24"/>
          <w:szCs w:val="24"/>
        </w:rPr>
      </w:pPr>
      <w:r w:rsidRPr="00990578">
        <w:rPr>
          <w:rFonts w:ascii="Times New Roman" w:hAnsi="Times New Roman" w:cs="Times New Roman"/>
          <w:b/>
          <w:sz w:val="24"/>
          <w:szCs w:val="24"/>
        </w:rPr>
        <w:t>Rashodi i izdaci</w:t>
      </w:r>
      <w:r w:rsidRPr="00990578">
        <w:rPr>
          <w:rFonts w:ascii="Times New Roman" w:hAnsi="Times New Roman" w:cs="Times New Roman"/>
          <w:sz w:val="24"/>
          <w:szCs w:val="24"/>
        </w:rPr>
        <w:t xml:space="preserve"> u 202</w:t>
      </w:r>
      <w:r w:rsidR="00206C55" w:rsidRPr="00990578">
        <w:rPr>
          <w:rFonts w:ascii="Times New Roman" w:hAnsi="Times New Roman" w:cs="Times New Roman"/>
          <w:sz w:val="24"/>
          <w:szCs w:val="24"/>
        </w:rPr>
        <w:t>3.</w:t>
      </w:r>
      <w:r w:rsidRPr="00990578">
        <w:rPr>
          <w:rFonts w:ascii="Times New Roman" w:hAnsi="Times New Roman" w:cs="Times New Roman"/>
          <w:sz w:val="24"/>
          <w:szCs w:val="24"/>
        </w:rPr>
        <w:t xml:space="preserve"> godini </w:t>
      </w:r>
      <w:r w:rsidR="00F21AB8" w:rsidRPr="00990578">
        <w:rPr>
          <w:rFonts w:ascii="Times New Roman" w:hAnsi="Times New Roman" w:cs="Times New Roman"/>
          <w:sz w:val="24"/>
          <w:szCs w:val="24"/>
        </w:rPr>
        <w:t xml:space="preserve">iznose </w:t>
      </w:r>
      <w:r w:rsidR="009C4BA1">
        <w:rPr>
          <w:rFonts w:ascii="Times New Roman" w:hAnsi="Times New Roman" w:cs="Times New Roman"/>
          <w:b/>
          <w:bCs/>
          <w:sz w:val="24"/>
          <w:szCs w:val="24"/>
        </w:rPr>
        <w:t>2.202.611,53</w:t>
      </w:r>
      <w:r w:rsidR="00CC65BB" w:rsidRPr="00990578">
        <w:rPr>
          <w:rFonts w:ascii="Times New Roman" w:hAnsi="Times New Roman" w:cs="Times New Roman"/>
          <w:b/>
          <w:bCs/>
          <w:sz w:val="24"/>
          <w:szCs w:val="24"/>
        </w:rPr>
        <w:t xml:space="preserve"> EUR</w:t>
      </w:r>
      <w:r w:rsidR="000E4164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r w:rsidRPr="00990578">
        <w:rPr>
          <w:rFonts w:ascii="Times New Roman" w:hAnsi="Times New Roman" w:cs="Times New Roman"/>
          <w:sz w:val="24"/>
          <w:szCs w:val="24"/>
        </w:rPr>
        <w:t xml:space="preserve"> što predstavlja </w:t>
      </w:r>
      <w:r w:rsidR="00F0682C">
        <w:rPr>
          <w:rFonts w:ascii="Times New Roman" w:hAnsi="Times New Roman" w:cs="Times New Roman"/>
          <w:sz w:val="24"/>
          <w:szCs w:val="24"/>
        </w:rPr>
        <w:t>97,6</w:t>
      </w:r>
      <w:r w:rsidR="00D66C26">
        <w:rPr>
          <w:rFonts w:ascii="Times New Roman" w:hAnsi="Times New Roman" w:cs="Times New Roman"/>
          <w:sz w:val="24"/>
          <w:szCs w:val="24"/>
        </w:rPr>
        <w:t>3</w:t>
      </w:r>
      <w:r w:rsidRPr="00990578">
        <w:rPr>
          <w:rFonts w:ascii="Times New Roman" w:hAnsi="Times New Roman" w:cs="Times New Roman"/>
          <w:sz w:val="24"/>
          <w:szCs w:val="24"/>
        </w:rPr>
        <w:t xml:space="preserve">% </w:t>
      </w:r>
      <w:r w:rsidR="00DD6BB5" w:rsidRPr="00990578">
        <w:rPr>
          <w:rFonts w:ascii="Times New Roman" w:hAnsi="Times New Roman" w:cs="Times New Roman"/>
          <w:sz w:val="24"/>
          <w:szCs w:val="24"/>
        </w:rPr>
        <w:t xml:space="preserve">plana i </w:t>
      </w:r>
      <w:r w:rsidR="00D66C26">
        <w:rPr>
          <w:rFonts w:ascii="Times New Roman" w:hAnsi="Times New Roman" w:cs="Times New Roman"/>
          <w:sz w:val="24"/>
          <w:szCs w:val="24"/>
        </w:rPr>
        <w:t>veći su  za 19,39</w:t>
      </w:r>
      <w:r w:rsidR="007B76F5" w:rsidRPr="00990578">
        <w:rPr>
          <w:rFonts w:ascii="Times New Roman" w:hAnsi="Times New Roman" w:cs="Times New Roman"/>
          <w:sz w:val="24"/>
          <w:szCs w:val="24"/>
        </w:rPr>
        <w:t>%</w:t>
      </w:r>
      <w:r w:rsidR="006E7B3B" w:rsidRPr="00990578">
        <w:rPr>
          <w:rFonts w:ascii="Times New Roman" w:hAnsi="Times New Roman" w:cs="Times New Roman"/>
          <w:sz w:val="24"/>
          <w:szCs w:val="24"/>
        </w:rPr>
        <w:t xml:space="preserve"> u odnosu na prethodnu godinu (razred 3 i 4). </w:t>
      </w:r>
    </w:p>
    <w:p w14:paraId="48E4DFFA" w14:textId="4E60F274" w:rsidR="00B124A0" w:rsidRPr="00990578" w:rsidRDefault="00234B6F" w:rsidP="00AA2A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0578">
        <w:rPr>
          <w:rFonts w:ascii="Times New Roman" w:hAnsi="Times New Roman" w:cs="Times New Roman"/>
          <w:b/>
          <w:bCs/>
          <w:sz w:val="24"/>
          <w:szCs w:val="24"/>
        </w:rPr>
        <w:t>Skupina 31-Rashodi za zaposlene</w:t>
      </w:r>
    </w:p>
    <w:p w14:paraId="7531D8ED" w14:textId="56383EAD" w:rsidR="00B177B0" w:rsidRPr="00990578" w:rsidRDefault="00B177B0" w:rsidP="00AA2A44">
      <w:pPr>
        <w:jc w:val="both"/>
        <w:rPr>
          <w:rFonts w:ascii="Times New Roman" w:hAnsi="Times New Roman" w:cs="Times New Roman"/>
          <w:sz w:val="24"/>
          <w:szCs w:val="24"/>
        </w:rPr>
      </w:pPr>
      <w:r w:rsidRPr="00990578">
        <w:rPr>
          <w:rFonts w:ascii="Times New Roman" w:hAnsi="Times New Roman" w:cs="Times New Roman"/>
          <w:sz w:val="24"/>
          <w:szCs w:val="24"/>
        </w:rPr>
        <w:t xml:space="preserve">Rashodi za zaposlene su ostvareni u iznosu </w:t>
      </w:r>
      <w:r w:rsidR="009132DD">
        <w:rPr>
          <w:rFonts w:ascii="Times New Roman" w:hAnsi="Times New Roman" w:cs="Times New Roman"/>
          <w:sz w:val="24"/>
          <w:szCs w:val="24"/>
        </w:rPr>
        <w:t>1.841.393,00</w:t>
      </w:r>
      <w:r w:rsidR="005127E6" w:rsidRPr="00990578">
        <w:rPr>
          <w:rFonts w:ascii="Times New Roman" w:hAnsi="Times New Roman" w:cs="Times New Roman"/>
          <w:sz w:val="24"/>
          <w:szCs w:val="24"/>
        </w:rPr>
        <w:t xml:space="preserve"> eur</w:t>
      </w:r>
      <w:r w:rsidR="009132DD">
        <w:rPr>
          <w:rFonts w:ascii="Times New Roman" w:hAnsi="Times New Roman" w:cs="Times New Roman"/>
          <w:sz w:val="24"/>
          <w:szCs w:val="24"/>
        </w:rPr>
        <w:t>a</w:t>
      </w:r>
      <w:r w:rsidR="00637761">
        <w:rPr>
          <w:rFonts w:ascii="Times New Roman" w:hAnsi="Times New Roman" w:cs="Times New Roman"/>
          <w:sz w:val="24"/>
          <w:szCs w:val="24"/>
        </w:rPr>
        <w:t>, što je 99,17</w:t>
      </w:r>
      <w:r w:rsidR="00912789" w:rsidRPr="00990578">
        <w:rPr>
          <w:rFonts w:ascii="Times New Roman" w:hAnsi="Times New Roman" w:cs="Times New Roman"/>
          <w:sz w:val="24"/>
          <w:szCs w:val="24"/>
        </w:rPr>
        <w:t xml:space="preserve">% </w:t>
      </w:r>
      <w:r w:rsidR="00642224" w:rsidRPr="00990578">
        <w:rPr>
          <w:rFonts w:ascii="Times New Roman" w:hAnsi="Times New Roman" w:cs="Times New Roman"/>
          <w:sz w:val="24"/>
          <w:szCs w:val="24"/>
        </w:rPr>
        <w:t xml:space="preserve">godišnjeg </w:t>
      </w:r>
      <w:r w:rsidR="00912789" w:rsidRPr="00990578">
        <w:rPr>
          <w:rFonts w:ascii="Times New Roman" w:hAnsi="Times New Roman" w:cs="Times New Roman"/>
          <w:sz w:val="24"/>
          <w:szCs w:val="24"/>
        </w:rPr>
        <w:t>plana</w:t>
      </w:r>
      <w:r w:rsidR="005B1F78" w:rsidRPr="00990578">
        <w:rPr>
          <w:rFonts w:ascii="Times New Roman" w:hAnsi="Times New Roman" w:cs="Times New Roman"/>
          <w:sz w:val="24"/>
          <w:szCs w:val="24"/>
        </w:rPr>
        <w:t xml:space="preserve"> te su</w:t>
      </w:r>
      <w:r w:rsidR="003927C4">
        <w:rPr>
          <w:rFonts w:ascii="Times New Roman" w:hAnsi="Times New Roman" w:cs="Times New Roman"/>
          <w:sz w:val="24"/>
          <w:szCs w:val="24"/>
        </w:rPr>
        <w:t xml:space="preserve"> se</w:t>
      </w:r>
      <w:r w:rsidR="005B1F78" w:rsidRPr="00990578">
        <w:rPr>
          <w:rFonts w:ascii="Times New Roman" w:hAnsi="Times New Roman" w:cs="Times New Roman"/>
          <w:sz w:val="24"/>
          <w:szCs w:val="24"/>
        </w:rPr>
        <w:t xml:space="preserve"> navedeni rashodi povećani za </w:t>
      </w:r>
      <w:r w:rsidR="00237B15" w:rsidRPr="00990578">
        <w:rPr>
          <w:rFonts w:ascii="Times New Roman" w:hAnsi="Times New Roman" w:cs="Times New Roman"/>
          <w:sz w:val="24"/>
          <w:szCs w:val="24"/>
        </w:rPr>
        <w:t>1</w:t>
      </w:r>
      <w:r w:rsidR="00637761">
        <w:rPr>
          <w:rFonts w:ascii="Times New Roman" w:hAnsi="Times New Roman" w:cs="Times New Roman"/>
          <w:sz w:val="24"/>
          <w:szCs w:val="24"/>
        </w:rPr>
        <w:t>8,46</w:t>
      </w:r>
      <w:r w:rsidR="00237B15" w:rsidRPr="00990578">
        <w:rPr>
          <w:rFonts w:ascii="Times New Roman" w:hAnsi="Times New Roman" w:cs="Times New Roman"/>
          <w:sz w:val="24"/>
          <w:szCs w:val="24"/>
        </w:rPr>
        <w:t>% u odnosu na isto razdoblje prošle godine.</w:t>
      </w:r>
      <w:r w:rsidR="00822D9A" w:rsidRPr="00990578">
        <w:rPr>
          <w:rFonts w:ascii="Times New Roman" w:hAnsi="Times New Roman" w:cs="Times New Roman"/>
          <w:sz w:val="24"/>
          <w:szCs w:val="24"/>
        </w:rPr>
        <w:t xml:space="preserve"> Razlog </w:t>
      </w:r>
      <w:r w:rsidR="00637761">
        <w:rPr>
          <w:rFonts w:ascii="Times New Roman" w:hAnsi="Times New Roman" w:cs="Times New Roman"/>
          <w:sz w:val="24"/>
          <w:szCs w:val="24"/>
        </w:rPr>
        <w:t>je povećanje plaća, ostalih rashoda za zaposlene (neočekivanih pomoći i ostalih povećanja).</w:t>
      </w:r>
      <w:r w:rsidR="00EE3A48" w:rsidRPr="009905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7C993" w14:textId="4CA6F00D" w:rsidR="00FA01E0" w:rsidRPr="00990578" w:rsidRDefault="008019C9" w:rsidP="00AA2A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0578">
        <w:rPr>
          <w:rFonts w:ascii="Times New Roman" w:hAnsi="Times New Roman" w:cs="Times New Roman"/>
          <w:b/>
          <w:bCs/>
          <w:sz w:val="24"/>
          <w:szCs w:val="24"/>
        </w:rPr>
        <w:t xml:space="preserve">Skupina </w:t>
      </w:r>
      <w:r w:rsidR="00925AEA" w:rsidRPr="00990578">
        <w:rPr>
          <w:rFonts w:ascii="Times New Roman" w:hAnsi="Times New Roman" w:cs="Times New Roman"/>
          <w:b/>
          <w:bCs/>
          <w:sz w:val="24"/>
          <w:szCs w:val="24"/>
        </w:rPr>
        <w:t>32-Materijalni rashodi</w:t>
      </w:r>
    </w:p>
    <w:p w14:paraId="5C01C60F" w14:textId="5BE1236C" w:rsidR="00D56509" w:rsidRPr="0029787A" w:rsidRDefault="007111AE" w:rsidP="00AA2A44">
      <w:pPr>
        <w:jc w:val="both"/>
        <w:rPr>
          <w:rFonts w:ascii="Times New Roman" w:hAnsi="Times New Roman" w:cs="Times New Roman"/>
          <w:sz w:val="24"/>
          <w:szCs w:val="24"/>
        </w:rPr>
      </w:pPr>
      <w:r w:rsidRPr="0029787A">
        <w:rPr>
          <w:rFonts w:ascii="Times New Roman" w:hAnsi="Times New Roman" w:cs="Times New Roman"/>
          <w:sz w:val="24"/>
          <w:szCs w:val="24"/>
        </w:rPr>
        <w:t xml:space="preserve">Materijalni rashodi izvršeni su </w:t>
      </w:r>
      <w:r w:rsidR="00637761">
        <w:rPr>
          <w:rFonts w:ascii="Times New Roman" w:hAnsi="Times New Roman" w:cs="Times New Roman"/>
          <w:sz w:val="24"/>
          <w:szCs w:val="24"/>
        </w:rPr>
        <w:t>u iznosu od 314.451,36</w:t>
      </w:r>
      <w:r w:rsidR="00F02BA2" w:rsidRPr="0029787A">
        <w:rPr>
          <w:rFonts w:ascii="Times New Roman" w:hAnsi="Times New Roman" w:cs="Times New Roman"/>
          <w:sz w:val="24"/>
          <w:szCs w:val="24"/>
        </w:rPr>
        <w:t xml:space="preserve"> eur</w:t>
      </w:r>
      <w:r w:rsidR="00637761">
        <w:rPr>
          <w:rFonts w:ascii="Times New Roman" w:hAnsi="Times New Roman" w:cs="Times New Roman"/>
          <w:sz w:val="24"/>
          <w:szCs w:val="24"/>
        </w:rPr>
        <w:t>a</w:t>
      </w:r>
      <w:r w:rsidR="00F02BA2" w:rsidRPr="0029787A">
        <w:rPr>
          <w:rFonts w:ascii="Times New Roman" w:hAnsi="Times New Roman" w:cs="Times New Roman"/>
          <w:sz w:val="24"/>
          <w:szCs w:val="24"/>
        </w:rPr>
        <w:t xml:space="preserve"> čime je realizira</w:t>
      </w:r>
      <w:r w:rsidR="00637761">
        <w:rPr>
          <w:rFonts w:ascii="Times New Roman" w:hAnsi="Times New Roman" w:cs="Times New Roman"/>
          <w:sz w:val="24"/>
          <w:szCs w:val="24"/>
        </w:rPr>
        <w:t>no 89,29</w:t>
      </w:r>
      <w:r w:rsidR="00F02BA2" w:rsidRPr="0029787A">
        <w:rPr>
          <w:rFonts w:ascii="Times New Roman" w:hAnsi="Times New Roman" w:cs="Times New Roman"/>
          <w:sz w:val="24"/>
          <w:szCs w:val="24"/>
        </w:rPr>
        <w:t>%</w:t>
      </w:r>
      <w:r w:rsidR="003A0FC5" w:rsidRPr="0029787A">
        <w:rPr>
          <w:rFonts w:ascii="Times New Roman" w:hAnsi="Times New Roman" w:cs="Times New Roman"/>
          <w:sz w:val="24"/>
          <w:szCs w:val="24"/>
        </w:rPr>
        <w:t xml:space="preserve"> planiranih rashoda u ovoj skupini.</w:t>
      </w:r>
      <w:r w:rsidR="00A96AF9" w:rsidRPr="0029787A">
        <w:rPr>
          <w:rFonts w:ascii="Times New Roman" w:hAnsi="Times New Roman" w:cs="Times New Roman"/>
          <w:sz w:val="24"/>
          <w:szCs w:val="24"/>
        </w:rPr>
        <w:t xml:space="preserve"> </w:t>
      </w:r>
      <w:r w:rsidR="00A84637" w:rsidRPr="0029787A">
        <w:rPr>
          <w:rFonts w:ascii="Times New Roman" w:hAnsi="Times New Roman" w:cs="Times New Roman"/>
          <w:sz w:val="24"/>
          <w:szCs w:val="24"/>
        </w:rPr>
        <w:t xml:space="preserve">U </w:t>
      </w:r>
      <w:r w:rsidR="00B8639E" w:rsidRPr="0029787A">
        <w:rPr>
          <w:rFonts w:ascii="Times New Roman" w:hAnsi="Times New Roman" w:cs="Times New Roman"/>
          <w:sz w:val="24"/>
          <w:szCs w:val="24"/>
        </w:rPr>
        <w:t xml:space="preserve">2023. godini u </w:t>
      </w:r>
      <w:r w:rsidR="00A84637" w:rsidRPr="0029787A">
        <w:rPr>
          <w:rFonts w:ascii="Times New Roman" w:hAnsi="Times New Roman" w:cs="Times New Roman"/>
          <w:sz w:val="24"/>
          <w:szCs w:val="24"/>
        </w:rPr>
        <w:t xml:space="preserve">odnosu na </w:t>
      </w:r>
      <w:r w:rsidR="002B00C5" w:rsidRPr="0029787A">
        <w:rPr>
          <w:rFonts w:ascii="Times New Roman" w:hAnsi="Times New Roman" w:cs="Times New Roman"/>
          <w:sz w:val="24"/>
          <w:szCs w:val="24"/>
        </w:rPr>
        <w:t>2022. godinu</w:t>
      </w:r>
      <w:r w:rsidR="00637761">
        <w:rPr>
          <w:rFonts w:ascii="Times New Roman" w:hAnsi="Times New Roman" w:cs="Times New Roman"/>
          <w:sz w:val="24"/>
          <w:szCs w:val="24"/>
        </w:rPr>
        <w:t xml:space="preserve"> ostvareno je 27,46% više troškova zbog većih troškova za službena putovanja, naknada za prijevoz , rashoda za materijal i energiju.</w:t>
      </w:r>
    </w:p>
    <w:p w14:paraId="42F06E34" w14:textId="721D31EE" w:rsidR="00CB2C6E" w:rsidRPr="0029787A" w:rsidRDefault="00CB2C6E" w:rsidP="00AA2A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87A">
        <w:rPr>
          <w:rFonts w:ascii="Times New Roman" w:hAnsi="Times New Roman" w:cs="Times New Roman"/>
          <w:b/>
          <w:bCs/>
          <w:sz w:val="24"/>
          <w:szCs w:val="24"/>
        </w:rPr>
        <w:t>Skupina 34-Financijski rashodi</w:t>
      </w:r>
    </w:p>
    <w:p w14:paraId="6AF77D31" w14:textId="1CED653E" w:rsidR="00CB2C6E" w:rsidRPr="0029787A" w:rsidRDefault="00F65832" w:rsidP="00AA2A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</w:t>
      </w:r>
      <w:r w:rsidR="000E4164">
        <w:rPr>
          <w:rFonts w:ascii="Times New Roman" w:hAnsi="Times New Roman" w:cs="Times New Roman"/>
          <w:sz w:val="24"/>
          <w:szCs w:val="24"/>
        </w:rPr>
        <w:t>rashodi</w:t>
      </w:r>
      <w:r w:rsidR="003927C4">
        <w:rPr>
          <w:rFonts w:ascii="Times New Roman" w:hAnsi="Times New Roman" w:cs="Times New Roman"/>
          <w:sz w:val="24"/>
          <w:szCs w:val="24"/>
        </w:rPr>
        <w:t xml:space="preserve"> ostvareni su u iznosu 311,30 eura što je 99,78% godišnjeg plana a u odnosu na proteklo razdoblje prošle godine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3927C4">
        <w:rPr>
          <w:rFonts w:ascii="Times New Roman" w:hAnsi="Times New Roman" w:cs="Times New Roman"/>
          <w:sz w:val="24"/>
          <w:szCs w:val="24"/>
        </w:rPr>
        <w:t xml:space="preserve"> smanjeni su za </w:t>
      </w:r>
      <w:r w:rsidR="00E700D4">
        <w:rPr>
          <w:rFonts w:ascii="Times New Roman" w:hAnsi="Times New Roman" w:cs="Times New Roman"/>
          <w:sz w:val="24"/>
          <w:szCs w:val="24"/>
        </w:rPr>
        <w:t>92,9%</w:t>
      </w:r>
    </w:p>
    <w:p w14:paraId="5FE98B76" w14:textId="77777777" w:rsidR="00786E2E" w:rsidRDefault="00786E2E" w:rsidP="00AA2A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0FD34" w14:textId="406AE53F" w:rsidR="00417D26" w:rsidRPr="0029787A" w:rsidRDefault="00141539" w:rsidP="00AA2A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87A">
        <w:rPr>
          <w:rFonts w:ascii="Times New Roman" w:hAnsi="Times New Roman" w:cs="Times New Roman"/>
          <w:b/>
          <w:bCs/>
          <w:sz w:val="24"/>
          <w:szCs w:val="24"/>
        </w:rPr>
        <w:t>Skupina 4</w:t>
      </w:r>
      <w:r w:rsidR="007A110B" w:rsidRPr="0029787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9787A">
        <w:rPr>
          <w:rFonts w:ascii="Times New Roman" w:hAnsi="Times New Roman" w:cs="Times New Roman"/>
          <w:b/>
          <w:bCs/>
          <w:sz w:val="24"/>
          <w:szCs w:val="24"/>
        </w:rPr>
        <w:t>-Rashodi za nabavu proizvedene dugotrajne imovine</w:t>
      </w:r>
    </w:p>
    <w:p w14:paraId="40B79EB0" w14:textId="52024B43" w:rsidR="00141539" w:rsidRPr="0029787A" w:rsidRDefault="00DC3C01" w:rsidP="00AA2A44">
      <w:pPr>
        <w:jc w:val="both"/>
        <w:rPr>
          <w:rFonts w:ascii="Times New Roman" w:hAnsi="Times New Roman" w:cs="Times New Roman"/>
          <w:sz w:val="24"/>
          <w:szCs w:val="24"/>
        </w:rPr>
      </w:pPr>
      <w:r w:rsidRPr="0029787A">
        <w:rPr>
          <w:rFonts w:ascii="Times New Roman" w:hAnsi="Times New Roman" w:cs="Times New Roman"/>
          <w:sz w:val="24"/>
          <w:szCs w:val="24"/>
        </w:rPr>
        <w:t xml:space="preserve">Rashodi za nabavu proizvedene dugotrajne imovine </w:t>
      </w:r>
      <w:r w:rsidR="00115F8C" w:rsidRPr="0029787A">
        <w:rPr>
          <w:rFonts w:ascii="Times New Roman" w:hAnsi="Times New Roman" w:cs="Times New Roman"/>
          <w:sz w:val="24"/>
          <w:szCs w:val="24"/>
        </w:rPr>
        <w:t>ostvareni su</w:t>
      </w:r>
      <w:r w:rsidR="0074294B">
        <w:rPr>
          <w:rFonts w:ascii="Times New Roman" w:hAnsi="Times New Roman" w:cs="Times New Roman"/>
          <w:sz w:val="24"/>
          <w:szCs w:val="24"/>
        </w:rPr>
        <w:t xml:space="preserve"> u iznosu 20.252,47eura </w:t>
      </w:r>
      <w:r w:rsidR="00115F8C" w:rsidRPr="0029787A">
        <w:rPr>
          <w:rFonts w:ascii="Times New Roman" w:hAnsi="Times New Roman" w:cs="Times New Roman"/>
          <w:sz w:val="24"/>
          <w:szCs w:val="24"/>
        </w:rPr>
        <w:t xml:space="preserve"> </w:t>
      </w:r>
      <w:r w:rsidR="000E4164">
        <w:rPr>
          <w:rFonts w:ascii="Times New Roman" w:hAnsi="Times New Roman" w:cs="Times New Roman"/>
          <w:sz w:val="24"/>
          <w:szCs w:val="24"/>
        </w:rPr>
        <w:t xml:space="preserve">što je </w:t>
      </w:r>
      <w:r w:rsidR="0074294B">
        <w:rPr>
          <w:rFonts w:ascii="Times New Roman" w:hAnsi="Times New Roman" w:cs="Times New Roman"/>
          <w:sz w:val="24"/>
          <w:szCs w:val="24"/>
        </w:rPr>
        <w:t>98,63% od planiranih</w:t>
      </w:r>
      <w:r w:rsidR="00F65832">
        <w:rPr>
          <w:rFonts w:ascii="Times New Roman" w:hAnsi="Times New Roman" w:cs="Times New Roman"/>
          <w:sz w:val="24"/>
          <w:szCs w:val="24"/>
        </w:rPr>
        <w:t xml:space="preserve"> a </w:t>
      </w:r>
      <w:r w:rsidR="000E4164">
        <w:rPr>
          <w:rFonts w:ascii="Times New Roman" w:hAnsi="Times New Roman" w:cs="Times New Roman"/>
          <w:sz w:val="24"/>
          <w:szCs w:val="24"/>
        </w:rPr>
        <w:t xml:space="preserve"> </w:t>
      </w:r>
      <w:r w:rsidR="009416EA" w:rsidRPr="0029787A">
        <w:rPr>
          <w:rFonts w:ascii="Times New Roman" w:hAnsi="Times New Roman" w:cs="Times New Roman"/>
          <w:sz w:val="24"/>
          <w:szCs w:val="24"/>
        </w:rPr>
        <w:t>u</w:t>
      </w:r>
      <w:r w:rsidR="0074294B">
        <w:rPr>
          <w:rFonts w:ascii="Times New Roman" w:hAnsi="Times New Roman" w:cs="Times New Roman"/>
          <w:sz w:val="24"/>
          <w:szCs w:val="24"/>
        </w:rPr>
        <w:t xml:space="preserve"> odnosu na 2022. godinu</w:t>
      </w:r>
      <w:r w:rsidR="000E4164">
        <w:rPr>
          <w:rFonts w:ascii="Times New Roman" w:hAnsi="Times New Roman" w:cs="Times New Roman"/>
          <w:sz w:val="24"/>
          <w:szCs w:val="24"/>
        </w:rPr>
        <w:t xml:space="preserve"> povećanje </w:t>
      </w:r>
      <w:r w:rsidR="0074294B">
        <w:rPr>
          <w:rFonts w:ascii="Times New Roman" w:hAnsi="Times New Roman" w:cs="Times New Roman"/>
          <w:sz w:val="24"/>
          <w:szCs w:val="24"/>
        </w:rPr>
        <w:t xml:space="preserve"> za 46,25</w:t>
      </w:r>
      <w:r w:rsidR="009416EA" w:rsidRPr="0029787A">
        <w:rPr>
          <w:rFonts w:ascii="Times New Roman" w:hAnsi="Times New Roman" w:cs="Times New Roman"/>
          <w:sz w:val="24"/>
          <w:szCs w:val="24"/>
        </w:rPr>
        <w:t>%.</w:t>
      </w:r>
      <w:r w:rsidR="007878C7" w:rsidRPr="0029787A">
        <w:rPr>
          <w:rFonts w:ascii="Times New Roman" w:hAnsi="Times New Roman" w:cs="Times New Roman"/>
          <w:sz w:val="24"/>
          <w:szCs w:val="24"/>
        </w:rPr>
        <w:t xml:space="preserve"> </w:t>
      </w:r>
      <w:r w:rsidR="000603BE" w:rsidRPr="0029787A">
        <w:rPr>
          <w:rFonts w:ascii="Times New Roman" w:hAnsi="Times New Roman" w:cs="Times New Roman"/>
          <w:sz w:val="24"/>
          <w:szCs w:val="24"/>
        </w:rPr>
        <w:t xml:space="preserve">Izvršena je nabava </w:t>
      </w:r>
      <w:r w:rsidR="0074294B">
        <w:rPr>
          <w:rFonts w:ascii="Times New Roman" w:hAnsi="Times New Roman" w:cs="Times New Roman"/>
          <w:sz w:val="24"/>
          <w:szCs w:val="24"/>
        </w:rPr>
        <w:t>računalne opreme, namještaja, višegodišnjih udžbenika i ostale opreme za potrebe nastave.</w:t>
      </w:r>
    </w:p>
    <w:p w14:paraId="6F7A593F" w14:textId="77777777" w:rsidR="00786E2E" w:rsidRDefault="00786E2E" w:rsidP="00AA2A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23DB34" w14:textId="77777777" w:rsidR="00A14779" w:rsidRDefault="00A14779" w:rsidP="00AA2A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C7B84" w14:textId="77777777" w:rsidR="00A14779" w:rsidRDefault="00A14779" w:rsidP="00AA2A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022129" w14:textId="1D981C17" w:rsidR="00023419" w:rsidRPr="0029787A" w:rsidRDefault="008D6CC7" w:rsidP="00AA2A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Manjak</w:t>
      </w:r>
    </w:p>
    <w:p w14:paraId="740F39EC" w14:textId="5715C047" w:rsidR="000901C5" w:rsidRPr="0029787A" w:rsidRDefault="00AB6C41" w:rsidP="000901C5">
      <w:pPr>
        <w:rPr>
          <w:rFonts w:ascii="Times New Roman" w:hAnsi="Times New Roman" w:cs="Times New Roman"/>
          <w:sz w:val="24"/>
          <w:szCs w:val="24"/>
        </w:rPr>
      </w:pPr>
      <w:r w:rsidRPr="0029787A">
        <w:rPr>
          <w:rFonts w:ascii="Times New Roman" w:hAnsi="Times New Roman" w:cs="Times New Roman"/>
          <w:sz w:val="24"/>
          <w:szCs w:val="24"/>
        </w:rPr>
        <w:t>U 2023.godini prenesen je višak prihoda</w:t>
      </w:r>
      <w:r w:rsidR="00E0148F" w:rsidRPr="0029787A">
        <w:rPr>
          <w:rFonts w:ascii="Times New Roman" w:hAnsi="Times New Roman" w:cs="Times New Roman"/>
          <w:sz w:val="24"/>
          <w:szCs w:val="24"/>
        </w:rPr>
        <w:t xml:space="preserve"> </w:t>
      </w:r>
      <w:r w:rsidR="00FD500B">
        <w:rPr>
          <w:rFonts w:ascii="Times New Roman" w:hAnsi="Times New Roman" w:cs="Times New Roman"/>
          <w:sz w:val="24"/>
          <w:szCs w:val="24"/>
        </w:rPr>
        <w:t xml:space="preserve">u iznosu od 1.770,88 </w:t>
      </w:r>
      <w:r w:rsidR="006E5EAE" w:rsidRPr="0029787A">
        <w:rPr>
          <w:rFonts w:ascii="Times New Roman" w:hAnsi="Times New Roman" w:cs="Times New Roman"/>
          <w:sz w:val="24"/>
          <w:szCs w:val="24"/>
        </w:rPr>
        <w:t xml:space="preserve"> eur</w:t>
      </w:r>
      <w:r w:rsidR="00FD500B">
        <w:rPr>
          <w:rFonts w:ascii="Times New Roman" w:hAnsi="Times New Roman" w:cs="Times New Roman"/>
          <w:sz w:val="24"/>
          <w:szCs w:val="24"/>
        </w:rPr>
        <w:t>a</w:t>
      </w:r>
      <w:r w:rsidR="006E5EAE" w:rsidRPr="0029787A">
        <w:rPr>
          <w:rFonts w:ascii="Times New Roman" w:hAnsi="Times New Roman" w:cs="Times New Roman"/>
          <w:sz w:val="24"/>
          <w:szCs w:val="24"/>
        </w:rPr>
        <w:t xml:space="preserve"> </w:t>
      </w:r>
      <w:r w:rsidR="00E0148F" w:rsidRPr="0029787A">
        <w:rPr>
          <w:rFonts w:ascii="Times New Roman" w:hAnsi="Times New Roman" w:cs="Times New Roman"/>
          <w:sz w:val="24"/>
          <w:szCs w:val="24"/>
        </w:rPr>
        <w:t xml:space="preserve">iz prethodnih godina </w:t>
      </w:r>
      <w:r w:rsidR="00FD500B">
        <w:rPr>
          <w:rFonts w:ascii="Times New Roman" w:hAnsi="Times New Roman" w:cs="Times New Roman"/>
          <w:sz w:val="24"/>
          <w:szCs w:val="24"/>
        </w:rPr>
        <w:t xml:space="preserve">koji je Odlukom školskog odbora </w:t>
      </w:r>
      <w:r w:rsidR="00E0148F" w:rsidRPr="0029787A">
        <w:rPr>
          <w:rFonts w:ascii="Times New Roman" w:hAnsi="Times New Roman" w:cs="Times New Roman"/>
          <w:sz w:val="24"/>
          <w:szCs w:val="24"/>
        </w:rPr>
        <w:t xml:space="preserve">o korištenju viška </w:t>
      </w:r>
      <w:r w:rsidR="00145A11" w:rsidRPr="0029787A">
        <w:rPr>
          <w:rFonts w:ascii="Times New Roman" w:hAnsi="Times New Roman" w:cs="Times New Roman"/>
          <w:sz w:val="24"/>
          <w:szCs w:val="24"/>
        </w:rPr>
        <w:t xml:space="preserve">raspoređen u </w:t>
      </w:r>
      <w:r w:rsidR="0095786D" w:rsidRPr="0029787A">
        <w:rPr>
          <w:rFonts w:ascii="Times New Roman" w:hAnsi="Times New Roman" w:cs="Times New Roman"/>
          <w:sz w:val="24"/>
          <w:szCs w:val="24"/>
        </w:rPr>
        <w:t>II.</w:t>
      </w:r>
      <w:r w:rsidR="00145A11" w:rsidRPr="0029787A">
        <w:rPr>
          <w:rFonts w:ascii="Times New Roman" w:hAnsi="Times New Roman" w:cs="Times New Roman"/>
          <w:sz w:val="24"/>
          <w:szCs w:val="24"/>
        </w:rPr>
        <w:t xml:space="preserve"> Izmjenama </w:t>
      </w:r>
      <w:r w:rsidR="0095786D" w:rsidRPr="0029787A">
        <w:rPr>
          <w:rFonts w:ascii="Times New Roman" w:hAnsi="Times New Roman" w:cs="Times New Roman"/>
          <w:sz w:val="24"/>
          <w:szCs w:val="24"/>
        </w:rPr>
        <w:t xml:space="preserve">i dopunama </w:t>
      </w:r>
      <w:r w:rsidR="00541134" w:rsidRPr="0029787A">
        <w:rPr>
          <w:rFonts w:ascii="Times New Roman" w:hAnsi="Times New Roman" w:cs="Times New Roman"/>
          <w:sz w:val="24"/>
          <w:szCs w:val="24"/>
        </w:rPr>
        <w:t xml:space="preserve">Financijskog plana za financiranje </w:t>
      </w:r>
      <w:r w:rsidR="00A85119" w:rsidRPr="0029787A">
        <w:rPr>
          <w:rFonts w:ascii="Times New Roman" w:hAnsi="Times New Roman" w:cs="Times New Roman"/>
          <w:sz w:val="24"/>
          <w:szCs w:val="24"/>
        </w:rPr>
        <w:t xml:space="preserve">rashoda </w:t>
      </w:r>
      <w:r w:rsidR="00FD500B">
        <w:rPr>
          <w:rFonts w:ascii="Times New Roman" w:hAnsi="Times New Roman" w:cs="Times New Roman"/>
          <w:sz w:val="24"/>
          <w:szCs w:val="24"/>
        </w:rPr>
        <w:t>opreme za gl</w:t>
      </w:r>
      <w:r w:rsidR="000E4164">
        <w:rPr>
          <w:rFonts w:ascii="Times New Roman" w:hAnsi="Times New Roman" w:cs="Times New Roman"/>
          <w:sz w:val="24"/>
          <w:szCs w:val="24"/>
        </w:rPr>
        <w:t>azbeni</w:t>
      </w:r>
      <w:r w:rsidR="00FD500B">
        <w:rPr>
          <w:rFonts w:ascii="Times New Roman" w:hAnsi="Times New Roman" w:cs="Times New Roman"/>
          <w:sz w:val="24"/>
          <w:szCs w:val="24"/>
        </w:rPr>
        <w:t>.</w:t>
      </w:r>
      <w:r w:rsidR="00A14779">
        <w:rPr>
          <w:rFonts w:ascii="Times New Roman" w:hAnsi="Times New Roman" w:cs="Times New Roman"/>
          <w:sz w:val="24"/>
          <w:szCs w:val="24"/>
        </w:rPr>
        <w:t xml:space="preserve"> </w:t>
      </w:r>
      <w:r w:rsidR="00FD500B">
        <w:rPr>
          <w:rFonts w:ascii="Times New Roman" w:hAnsi="Times New Roman" w:cs="Times New Roman"/>
          <w:sz w:val="24"/>
          <w:szCs w:val="24"/>
        </w:rPr>
        <w:t>odjel.</w:t>
      </w:r>
      <w:r w:rsidR="008D6CC7">
        <w:rPr>
          <w:rFonts w:ascii="Times New Roman" w:hAnsi="Times New Roman" w:cs="Times New Roman"/>
          <w:sz w:val="24"/>
          <w:szCs w:val="24"/>
        </w:rPr>
        <w:t xml:space="preserve"> Ostvaren je </w:t>
      </w:r>
      <w:r w:rsidR="00386748" w:rsidRPr="0029787A">
        <w:rPr>
          <w:rFonts w:ascii="Times New Roman" w:hAnsi="Times New Roman" w:cs="Times New Roman"/>
          <w:sz w:val="24"/>
          <w:szCs w:val="24"/>
        </w:rPr>
        <w:t xml:space="preserve">višak u </w:t>
      </w:r>
      <w:r w:rsidR="00FD500B">
        <w:rPr>
          <w:rFonts w:ascii="Times New Roman" w:hAnsi="Times New Roman" w:cs="Times New Roman"/>
          <w:sz w:val="24"/>
          <w:szCs w:val="24"/>
        </w:rPr>
        <w:t>2023.godini  vlastitih sredstava</w:t>
      </w:r>
      <w:r w:rsidR="008D6CC7">
        <w:rPr>
          <w:rFonts w:ascii="Times New Roman" w:hAnsi="Times New Roman" w:cs="Times New Roman"/>
          <w:sz w:val="24"/>
          <w:szCs w:val="24"/>
        </w:rPr>
        <w:t xml:space="preserve"> od produženog </w:t>
      </w:r>
      <w:r w:rsidR="00FD500B">
        <w:rPr>
          <w:rFonts w:ascii="Times New Roman" w:hAnsi="Times New Roman" w:cs="Times New Roman"/>
          <w:sz w:val="24"/>
          <w:szCs w:val="24"/>
        </w:rPr>
        <w:t xml:space="preserve">boravka i glazbenog odjela u iznosu </w:t>
      </w:r>
      <w:r w:rsidR="008D6CC7">
        <w:rPr>
          <w:rFonts w:ascii="Times New Roman" w:hAnsi="Times New Roman" w:cs="Times New Roman"/>
          <w:sz w:val="24"/>
          <w:szCs w:val="24"/>
        </w:rPr>
        <w:t xml:space="preserve">2.028,19 eura ,  manjak koji se odnosi na </w:t>
      </w:r>
      <w:r w:rsidR="00FD500B">
        <w:rPr>
          <w:rFonts w:ascii="Times New Roman" w:hAnsi="Times New Roman" w:cs="Times New Roman"/>
          <w:sz w:val="24"/>
          <w:szCs w:val="24"/>
        </w:rPr>
        <w:t>troškove</w:t>
      </w:r>
      <w:r w:rsidR="008D6CC7">
        <w:rPr>
          <w:rFonts w:ascii="Times New Roman" w:hAnsi="Times New Roman" w:cs="Times New Roman"/>
          <w:sz w:val="24"/>
          <w:szCs w:val="24"/>
        </w:rPr>
        <w:t xml:space="preserve"> </w:t>
      </w:r>
      <w:r w:rsidR="00DB6593">
        <w:rPr>
          <w:rFonts w:ascii="Times New Roman" w:hAnsi="Times New Roman" w:cs="Times New Roman"/>
          <w:sz w:val="24"/>
          <w:szCs w:val="24"/>
        </w:rPr>
        <w:t>decentraliziranih</w:t>
      </w:r>
      <w:r w:rsidR="000E4164">
        <w:rPr>
          <w:rFonts w:ascii="Times New Roman" w:hAnsi="Times New Roman" w:cs="Times New Roman"/>
          <w:sz w:val="24"/>
          <w:szCs w:val="24"/>
        </w:rPr>
        <w:t xml:space="preserve"> sredstava u iznosi</w:t>
      </w:r>
      <w:r w:rsidR="008D6CC7">
        <w:rPr>
          <w:rFonts w:ascii="Times New Roman" w:hAnsi="Times New Roman" w:cs="Times New Roman"/>
          <w:sz w:val="24"/>
          <w:szCs w:val="24"/>
        </w:rPr>
        <w:t xml:space="preserve"> 5.020,91 eura.</w:t>
      </w:r>
      <w:r w:rsidR="00FD500B">
        <w:rPr>
          <w:rFonts w:ascii="Times New Roman" w:hAnsi="Times New Roman" w:cs="Times New Roman"/>
          <w:sz w:val="24"/>
          <w:szCs w:val="24"/>
        </w:rPr>
        <w:t xml:space="preserve">  </w:t>
      </w:r>
      <w:r w:rsidR="006B756A" w:rsidRPr="0029787A">
        <w:rPr>
          <w:rFonts w:ascii="Times New Roman" w:hAnsi="Times New Roman" w:cs="Times New Roman"/>
          <w:sz w:val="24"/>
          <w:szCs w:val="24"/>
        </w:rPr>
        <w:t xml:space="preserve"> </w:t>
      </w:r>
      <w:r w:rsidR="008D6CC7">
        <w:rPr>
          <w:rFonts w:ascii="Times New Roman" w:hAnsi="Times New Roman" w:cs="Times New Roman"/>
          <w:sz w:val="24"/>
          <w:szCs w:val="24"/>
        </w:rPr>
        <w:t xml:space="preserve"> O</w:t>
      </w:r>
      <w:r w:rsidR="00FD500B">
        <w:rPr>
          <w:rFonts w:ascii="Times New Roman" w:hAnsi="Times New Roman" w:cs="Times New Roman"/>
          <w:sz w:val="24"/>
          <w:szCs w:val="24"/>
        </w:rPr>
        <w:t xml:space="preserve">stvaren </w:t>
      </w:r>
      <w:r w:rsidR="008D6CC7">
        <w:rPr>
          <w:rFonts w:ascii="Times New Roman" w:hAnsi="Times New Roman" w:cs="Times New Roman"/>
          <w:sz w:val="24"/>
          <w:szCs w:val="24"/>
        </w:rPr>
        <w:t xml:space="preserve"> je </w:t>
      </w:r>
      <w:r w:rsidR="00FD500B">
        <w:rPr>
          <w:rFonts w:ascii="Times New Roman" w:hAnsi="Times New Roman" w:cs="Times New Roman"/>
          <w:sz w:val="24"/>
          <w:szCs w:val="24"/>
        </w:rPr>
        <w:t>manjak za 2023. godinu u iznosu 2.992,72 eura.</w:t>
      </w:r>
    </w:p>
    <w:p w14:paraId="50923CDB" w14:textId="77777777" w:rsidR="00786E2E" w:rsidRPr="0029787A" w:rsidRDefault="00786E2E" w:rsidP="00B97F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89"/>
        <w:gridCol w:w="1679"/>
        <w:gridCol w:w="1392"/>
      </w:tblGrid>
      <w:tr w:rsidR="00B97F86" w:rsidRPr="0029787A" w14:paraId="68E31605" w14:textId="77777777" w:rsidTr="009D2F75">
        <w:tc>
          <w:tcPr>
            <w:tcW w:w="5989" w:type="dxa"/>
            <w:shd w:val="clear" w:color="auto" w:fill="A6A6A6" w:themeFill="background1" w:themeFillShade="A6"/>
          </w:tcPr>
          <w:p w14:paraId="740ADC15" w14:textId="77777777" w:rsidR="00B97F86" w:rsidRPr="0029787A" w:rsidRDefault="00B97F86" w:rsidP="009D2F75">
            <w:pPr>
              <w:pStyle w:val="Odlomakpopisa"/>
              <w:ind w:left="0"/>
              <w:jc w:val="center"/>
              <w:rPr>
                <w:b/>
                <w:bCs/>
              </w:rPr>
            </w:pPr>
            <w:bookmarkStart w:id="2" w:name="_Hlk130812764"/>
            <w:r w:rsidRPr="0029787A">
              <w:rPr>
                <w:b/>
                <w:bCs/>
              </w:rPr>
              <w:lastRenderedPageBreak/>
              <w:t>OPIS</w:t>
            </w:r>
          </w:p>
        </w:tc>
        <w:tc>
          <w:tcPr>
            <w:tcW w:w="1679" w:type="dxa"/>
            <w:shd w:val="clear" w:color="auto" w:fill="A6A6A6" w:themeFill="background1" w:themeFillShade="A6"/>
          </w:tcPr>
          <w:p w14:paraId="5FAA0ADC" w14:textId="22108C0D" w:rsidR="00B97F86" w:rsidRPr="0029787A" w:rsidRDefault="00B97F86" w:rsidP="009D2F75">
            <w:pPr>
              <w:pStyle w:val="Odlomakpopisa"/>
              <w:ind w:left="0"/>
              <w:jc w:val="center"/>
              <w:rPr>
                <w:b/>
                <w:bCs/>
              </w:rPr>
            </w:pPr>
            <w:r w:rsidRPr="0029787A">
              <w:rPr>
                <w:b/>
                <w:bCs/>
              </w:rPr>
              <w:t>IZNOS</w:t>
            </w:r>
          </w:p>
        </w:tc>
        <w:tc>
          <w:tcPr>
            <w:tcW w:w="1392" w:type="dxa"/>
            <w:shd w:val="clear" w:color="auto" w:fill="A6A6A6" w:themeFill="background1" w:themeFillShade="A6"/>
          </w:tcPr>
          <w:p w14:paraId="196F963B" w14:textId="77777777" w:rsidR="00B97F86" w:rsidRPr="0029787A" w:rsidRDefault="00B97F86" w:rsidP="009D2F75">
            <w:pPr>
              <w:pStyle w:val="Odlomakpopisa"/>
              <w:ind w:left="0"/>
              <w:jc w:val="center"/>
              <w:rPr>
                <w:b/>
                <w:bCs/>
              </w:rPr>
            </w:pPr>
            <w:r w:rsidRPr="0029787A">
              <w:rPr>
                <w:b/>
                <w:bCs/>
              </w:rPr>
              <w:t>Indeks izvršenja %</w:t>
            </w:r>
          </w:p>
        </w:tc>
      </w:tr>
      <w:tr w:rsidR="00B97F86" w:rsidRPr="0029787A" w14:paraId="0BD78D80" w14:textId="77777777" w:rsidTr="009D2F75">
        <w:tc>
          <w:tcPr>
            <w:tcW w:w="5989" w:type="dxa"/>
            <w:shd w:val="clear" w:color="auto" w:fill="D9D9D9" w:themeFill="background1" w:themeFillShade="D9"/>
          </w:tcPr>
          <w:p w14:paraId="6AD0ADAF" w14:textId="77777777" w:rsidR="00B97F86" w:rsidRPr="0029787A" w:rsidRDefault="00B97F86" w:rsidP="009D2F75">
            <w:pPr>
              <w:pStyle w:val="Odlomakpopisa"/>
              <w:ind w:left="0"/>
              <w:jc w:val="center"/>
              <w:rPr>
                <w:b/>
                <w:bCs/>
              </w:rPr>
            </w:pPr>
            <w:r w:rsidRPr="0029787A">
              <w:rPr>
                <w:b/>
                <w:bCs/>
              </w:rPr>
              <w:t>UKUPNO RASHODI I IZDACI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62A3F3AE" w14:textId="6FC0C741" w:rsidR="00B97F86" w:rsidRPr="0029787A" w:rsidRDefault="00B97F86" w:rsidP="009D2F75">
            <w:pPr>
              <w:pStyle w:val="Odlomakpopisa"/>
              <w:ind w:left="0"/>
              <w:jc w:val="right"/>
              <w:rPr>
                <w:b/>
                <w:bCs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14:paraId="46C843A3" w14:textId="01AB9AE4" w:rsidR="00B97F86" w:rsidRPr="0029787A" w:rsidRDefault="00786E2E" w:rsidP="009D2F75">
            <w:pPr>
              <w:pStyle w:val="Odlomakpopisa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97,62</w:t>
            </w:r>
            <w:r w:rsidR="00B65644" w:rsidRPr="0029787A">
              <w:rPr>
                <w:b/>
                <w:bCs/>
              </w:rPr>
              <w:t>%</w:t>
            </w:r>
          </w:p>
        </w:tc>
      </w:tr>
      <w:tr w:rsidR="00B97F86" w:rsidRPr="0029787A" w14:paraId="6BDA0D94" w14:textId="77777777" w:rsidTr="009D2F75">
        <w:tc>
          <w:tcPr>
            <w:tcW w:w="5989" w:type="dxa"/>
          </w:tcPr>
          <w:p w14:paraId="675C0D56" w14:textId="77777777" w:rsidR="00B97F86" w:rsidRPr="0029787A" w:rsidRDefault="00B97F86" w:rsidP="009D2F75">
            <w:pPr>
              <w:pStyle w:val="Odlomakpopisa"/>
              <w:ind w:left="0"/>
              <w:jc w:val="both"/>
              <w:rPr>
                <w:lang w:eastAsia="en-US"/>
              </w:rPr>
            </w:pPr>
            <w:r w:rsidRPr="0029787A">
              <w:rPr>
                <w:lang w:eastAsia="en-US"/>
              </w:rPr>
              <w:t>Rashodi za zaposlene (31)</w:t>
            </w:r>
          </w:p>
        </w:tc>
        <w:tc>
          <w:tcPr>
            <w:tcW w:w="1679" w:type="dxa"/>
          </w:tcPr>
          <w:p w14:paraId="51789207" w14:textId="7C0151B1" w:rsidR="00B97F86" w:rsidRPr="0029787A" w:rsidRDefault="00786E2E" w:rsidP="009D2F75">
            <w:pPr>
              <w:pStyle w:val="Odlomakpopisa"/>
              <w:ind w:left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1.841,393,00</w:t>
            </w:r>
          </w:p>
        </w:tc>
        <w:tc>
          <w:tcPr>
            <w:tcW w:w="1392" w:type="dxa"/>
          </w:tcPr>
          <w:p w14:paraId="19870511" w14:textId="5C15E7B1" w:rsidR="00B97F86" w:rsidRPr="0029787A" w:rsidRDefault="00786E2E" w:rsidP="009D2F75">
            <w:pPr>
              <w:pStyle w:val="Odlomakpopis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99,17%</w:t>
            </w:r>
          </w:p>
        </w:tc>
      </w:tr>
      <w:tr w:rsidR="00B97F86" w:rsidRPr="0029787A" w14:paraId="58F303CC" w14:textId="77777777" w:rsidTr="009D2F75">
        <w:tc>
          <w:tcPr>
            <w:tcW w:w="5989" w:type="dxa"/>
          </w:tcPr>
          <w:p w14:paraId="2747CDA5" w14:textId="77777777" w:rsidR="00B97F86" w:rsidRPr="0029787A" w:rsidRDefault="00B97F86" w:rsidP="009D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7A">
              <w:rPr>
                <w:rFonts w:ascii="Times New Roman" w:hAnsi="Times New Roman" w:cs="Times New Roman"/>
                <w:sz w:val="24"/>
                <w:szCs w:val="24"/>
              </w:rPr>
              <w:t>Materijalni rashodi (32)</w:t>
            </w:r>
          </w:p>
        </w:tc>
        <w:tc>
          <w:tcPr>
            <w:tcW w:w="1679" w:type="dxa"/>
          </w:tcPr>
          <w:p w14:paraId="08A8F58E" w14:textId="295CC817" w:rsidR="00B97F86" w:rsidRPr="0029787A" w:rsidRDefault="00786E2E" w:rsidP="009D2F75">
            <w:pPr>
              <w:pStyle w:val="Odlomakpopisa"/>
              <w:ind w:left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314.451,36</w:t>
            </w:r>
          </w:p>
        </w:tc>
        <w:tc>
          <w:tcPr>
            <w:tcW w:w="1392" w:type="dxa"/>
          </w:tcPr>
          <w:p w14:paraId="54E10E6B" w14:textId="52430373" w:rsidR="00B97F86" w:rsidRPr="0029787A" w:rsidRDefault="00786E2E" w:rsidP="009D2F75">
            <w:pPr>
              <w:pStyle w:val="Odlomakpopis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89,29</w:t>
            </w:r>
            <w:r w:rsidR="00B97F86" w:rsidRPr="0029787A">
              <w:rPr>
                <w:lang w:eastAsia="en-US"/>
              </w:rPr>
              <w:t>%</w:t>
            </w:r>
          </w:p>
        </w:tc>
      </w:tr>
      <w:tr w:rsidR="00786E2E" w:rsidRPr="0029787A" w14:paraId="71225078" w14:textId="77777777" w:rsidTr="009D2F75">
        <w:tc>
          <w:tcPr>
            <w:tcW w:w="5989" w:type="dxa"/>
          </w:tcPr>
          <w:p w14:paraId="798290F7" w14:textId="7D848FF3" w:rsidR="00786E2E" w:rsidRPr="0029787A" w:rsidRDefault="00786E2E" w:rsidP="009D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Financijski rashodi (34)</w:t>
            </w:r>
          </w:p>
        </w:tc>
        <w:tc>
          <w:tcPr>
            <w:tcW w:w="1679" w:type="dxa"/>
          </w:tcPr>
          <w:p w14:paraId="21004387" w14:textId="7E69B059" w:rsidR="00786E2E" w:rsidRDefault="00786E2E" w:rsidP="009D2F75">
            <w:pPr>
              <w:pStyle w:val="Odlomakpopisa"/>
              <w:ind w:left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311,30</w:t>
            </w:r>
          </w:p>
        </w:tc>
        <w:tc>
          <w:tcPr>
            <w:tcW w:w="1392" w:type="dxa"/>
          </w:tcPr>
          <w:p w14:paraId="222B45D2" w14:textId="0581C05D" w:rsidR="00786E2E" w:rsidRDefault="00786E2E" w:rsidP="009D2F75">
            <w:pPr>
              <w:pStyle w:val="Odlomakpopis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99,78%</w:t>
            </w:r>
          </w:p>
        </w:tc>
      </w:tr>
      <w:tr w:rsidR="00786E2E" w:rsidRPr="0029787A" w14:paraId="653C37FF" w14:textId="77777777" w:rsidTr="009D2F75">
        <w:tc>
          <w:tcPr>
            <w:tcW w:w="5989" w:type="dxa"/>
          </w:tcPr>
          <w:p w14:paraId="44125690" w14:textId="07907D06" w:rsidR="00786E2E" w:rsidRDefault="00786E2E" w:rsidP="00786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Naknade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građ.i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kućanstvima (37)</w:t>
            </w:r>
          </w:p>
        </w:tc>
        <w:tc>
          <w:tcPr>
            <w:tcW w:w="1679" w:type="dxa"/>
          </w:tcPr>
          <w:p w14:paraId="0E8FB359" w14:textId="3A6C4C20" w:rsidR="00786E2E" w:rsidRDefault="00786E2E" w:rsidP="009D2F75">
            <w:pPr>
              <w:pStyle w:val="Odlomakpopisa"/>
              <w:ind w:left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25.136,48</w:t>
            </w:r>
          </w:p>
        </w:tc>
        <w:tc>
          <w:tcPr>
            <w:tcW w:w="1392" w:type="dxa"/>
          </w:tcPr>
          <w:p w14:paraId="39E0196D" w14:textId="27669DCC" w:rsidR="00786E2E" w:rsidRDefault="00786E2E" w:rsidP="009D2F75">
            <w:pPr>
              <w:pStyle w:val="Odlomakpopis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99,75%</w:t>
            </w:r>
          </w:p>
        </w:tc>
      </w:tr>
      <w:tr w:rsidR="00786E2E" w:rsidRPr="0029787A" w14:paraId="6097CAA5" w14:textId="77777777" w:rsidTr="009D2F75">
        <w:tc>
          <w:tcPr>
            <w:tcW w:w="5989" w:type="dxa"/>
          </w:tcPr>
          <w:p w14:paraId="1EB2FB18" w14:textId="7A66C947" w:rsidR="00786E2E" w:rsidRDefault="00786E2E" w:rsidP="00786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 rashodi (38)</w:t>
            </w:r>
          </w:p>
        </w:tc>
        <w:tc>
          <w:tcPr>
            <w:tcW w:w="1679" w:type="dxa"/>
          </w:tcPr>
          <w:p w14:paraId="53579592" w14:textId="0A579703" w:rsidR="00786E2E" w:rsidRDefault="00786E2E" w:rsidP="009D2F75">
            <w:pPr>
              <w:pStyle w:val="Odlomakpopisa"/>
              <w:ind w:left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1.066,92</w:t>
            </w:r>
          </w:p>
        </w:tc>
        <w:tc>
          <w:tcPr>
            <w:tcW w:w="1392" w:type="dxa"/>
          </w:tcPr>
          <w:p w14:paraId="6211D150" w14:textId="0284EC53" w:rsidR="00786E2E" w:rsidRDefault="00786E2E" w:rsidP="009D2F75">
            <w:pPr>
              <w:pStyle w:val="Odlomakpopis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99,99%</w:t>
            </w:r>
          </w:p>
        </w:tc>
      </w:tr>
      <w:tr w:rsidR="00B97F86" w:rsidRPr="0029787A" w14:paraId="20A9936E" w14:textId="77777777" w:rsidTr="009D2F75">
        <w:tc>
          <w:tcPr>
            <w:tcW w:w="5989" w:type="dxa"/>
            <w:shd w:val="clear" w:color="auto" w:fill="BFBFBF" w:themeFill="background1" w:themeFillShade="BF"/>
          </w:tcPr>
          <w:p w14:paraId="246FD892" w14:textId="6848A05C" w:rsidR="00B97F86" w:rsidRPr="0029787A" w:rsidRDefault="00B97F86" w:rsidP="009D2F75">
            <w:pPr>
              <w:pStyle w:val="Odlomakpopisa"/>
              <w:ind w:left="0"/>
              <w:jc w:val="center"/>
              <w:rPr>
                <w:b/>
                <w:bCs/>
                <w:lang w:eastAsia="en-US"/>
              </w:rPr>
            </w:pPr>
            <w:r w:rsidRPr="0029787A">
              <w:rPr>
                <w:b/>
                <w:bCs/>
                <w:lang w:eastAsia="en-US"/>
              </w:rPr>
              <w:t>UKUPNO (</w:t>
            </w:r>
            <w:r w:rsidR="00B65644" w:rsidRPr="0029787A">
              <w:rPr>
                <w:b/>
                <w:bCs/>
                <w:lang w:eastAsia="en-US"/>
              </w:rPr>
              <w:t>1</w:t>
            </w:r>
            <w:r w:rsidRPr="0029787A">
              <w:rPr>
                <w:b/>
                <w:bCs/>
                <w:lang w:eastAsia="en-US"/>
              </w:rPr>
              <w:t>)</w:t>
            </w:r>
          </w:p>
        </w:tc>
        <w:tc>
          <w:tcPr>
            <w:tcW w:w="1679" w:type="dxa"/>
            <w:shd w:val="clear" w:color="auto" w:fill="BFBFBF" w:themeFill="background1" w:themeFillShade="BF"/>
          </w:tcPr>
          <w:p w14:paraId="71D4234A" w14:textId="2700AFBF" w:rsidR="00B97F86" w:rsidRPr="0029787A" w:rsidRDefault="0099469B" w:rsidP="009D2F75">
            <w:pPr>
              <w:pStyle w:val="Odlomakpopisa"/>
              <w:ind w:left="0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2.182.359,06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14:paraId="5F3E8F40" w14:textId="5A165416" w:rsidR="00B65644" w:rsidRPr="0029787A" w:rsidRDefault="00B65644" w:rsidP="00B65644">
            <w:pPr>
              <w:pStyle w:val="Odlomakpopisa"/>
              <w:ind w:left="0"/>
              <w:rPr>
                <w:b/>
                <w:bCs/>
                <w:lang w:eastAsia="en-US"/>
              </w:rPr>
            </w:pPr>
            <w:r w:rsidRPr="0029787A">
              <w:rPr>
                <w:b/>
                <w:bCs/>
                <w:lang w:eastAsia="en-US"/>
              </w:rPr>
              <w:t xml:space="preserve">     9</w:t>
            </w:r>
            <w:r w:rsidR="0099469B">
              <w:rPr>
                <w:b/>
                <w:bCs/>
                <w:lang w:eastAsia="en-US"/>
              </w:rPr>
              <w:t>7,62</w:t>
            </w:r>
            <w:r w:rsidRPr="0029787A">
              <w:rPr>
                <w:b/>
                <w:bCs/>
                <w:lang w:eastAsia="en-US"/>
              </w:rPr>
              <w:t>%</w:t>
            </w:r>
          </w:p>
          <w:p w14:paraId="725ACE4F" w14:textId="7E0A60CA" w:rsidR="00B97F86" w:rsidRPr="0029787A" w:rsidRDefault="00B97F86" w:rsidP="00B65644">
            <w:pPr>
              <w:pStyle w:val="Odlomakpopisa"/>
              <w:ind w:left="0"/>
              <w:rPr>
                <w:b/>
                <w:bCs/>
                <w:lang w:eastAsia="en-US"/>
              </w:rPr>
            </w:pPr>
          </w:p>
        </w:tc>
      </w:tr>
      <w:tr w:rsidR="00B97F86" w:rsidRPr="0029787A" w14:paraId="15E74D68" w14:textId="77777777" w:rsidTr="009D2F75">
        <w:tc>
          <w:tcPr>
            <w:tcW w:w="5989" w:type="dxa"/>
            <w:shd w:val="clear" w:color="auto" w:fill="auto"/>
          </w:tcPr>
          <w:p w14:paraId="403CA60A" w14:textId="77777777" w:rsidR="00B97F86" w:rsidRPr="0029787A" w:rsidRDefault="00B97F86" w:rsidP="009D2F75">
            <w:pPr>
              <w:pStyle w:val="Odlomakpopisa"/>
              <w:ind w:left="0"/>
              <w:rPr>
                <w:lang w:eastAsia="en-US"/>
              </w:rPr>
            </w:pPr>
            <w:r w:rsidRPr="0029787A">
              <w:rPr>
                <w:lang w:eastAsia="en-US"/>
              </w:rPr>
              <w:t>Rashodi za nabavu proizvedene dugotrajne imovine (42)</w:t>
            </w:r>
          </w:p>
        </w:tc>
        <w:tc>
          <w:tcPr>
            <w:tcW w:w="1679" w:type="dxa"/>
            <w:shd w:val="clear" w:color="auto" w:fill="auto"/>
          </w:tcPr>
          <w:p w14:paraId="71BAA944" w14:textId="665B9F79" w:rsidR="00B97F86" w:rsidRPr="0029787A" w:rsidRDefault="00786E2E" w:rsidP="009D2F75">
            <w:pPr>
              <w:pStyle w:val="Odlomakpopisa"/>
              <w:ind w:left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20.252,47</w:t>
            </w:r>
          </w:p>
        </w:tc>
        <w:tc>
          <w:tcPr>
            <w:tcW w:w="1392" w:type="dxa"/>
            <w:shd w:val="clear" w:color="auto" w:fill="auto"/>
          </w:tcPr>
          <w:p w14:paraId="20FC9B87" w14:textId="500C0476" w:rsidR="00B97F86" w:rsidRPr="0029787A" w:rsidRDefault="00786E2E" w:rsidP="009D2F75">
            <w:pPr>
              <w:pStyle w:val="Odlomakpopisa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98,63</w:t>
            </w:r>
            <w:r w:rsidR="00B97F86" w:rsidRPr="0029787A">
              <w:rPr>
                <w:lang w:eastAsia="en-US"/>
              </w:rPr>
              <w:t>%</w:t>
            </w:r>
          </w:p>
        </w:tc>
      </w:tr>
      <w:tr w:rsidR="00B97F86" w:rsidRPr="0029787A" w14:paraId="581BADDC" w14:textId="77777777" w:rsidTr="009D2F75">
        <w:tc>
          <w:tcPr>
            <w:tcW w:w="5989" w:type="dxa"/>
            <w:shd w:val="clear" w:color="auto" w:fill="BFBFBF" w:themeFill="background1" w:themeFillShade="BF"/>
          </w:tcPr>
          <w:p w14:paraId="7FB2FD4C" w14:textId="20A34F74" w:rsidR="00B97F86" w:rsidRPr="0029787A" w:rsidRDefault="00B97F86" w:rsidP="009D2F75">
            <w:pPr>
              <w:pStyle w:val="Odlomakpopisa"/>
              <w:ind w:left="0"/>
              <w:jc w:val="center"/>
              <w:rPr>
                <w:b/>
                <w:bCs/>
                <w:lang w:eastAsia="en-US"/>
              </w:rPr>
            </w:pPr>
            <w:r w:rsidRPr="0029787A">
              <w:rPr>
                <w:b/>
                <w:bCs/>
                <w:lang w:eastAsia="en-US"/>
              </w:rPr>
              <w:t>UKUPNO (</w:t>
            </w:r>
            <w:r w:rsidR="00B65644" w:rsidRPr="0029787A">
              <w:rPr>
                <w:b/>
                <w:bCs/>
                <w:lang w:eastAsia="en-US"/>
              </w:rPr>
              <w:t>2</w:t>
            </w:r>
            <w:r w:rsidRPr="0029787A">
              <w:rPr>
                <w:b/>
                <w:bCs/>
                <w:lang w:eastAsia="en-US"/>
              </w:rPr>
              <w:t>)</w:t>
            </w:r>
          </w:p>
        </w:tc>
        <w:tc>
          <w:tcPr>
            <w:tcW w:w="1679" w:type="dxa"/>
            <w:shd w:val="clear" w:color="auto" w:fill="BFBFBF" w:themeFill="background1" w:themeFillShade="BF"/>
          </w:tcPr>
          <w:p w14:paraId="01572B90" w14:textId="079B449D" w:rsidR="00B97F86" w:rsidRDefault="00786E2E" w:rsidP="009D2F75">
            <w:pPr>
              <w:pStyle w:val="Odlomakpopisa"/>
              <w:ind w:left="0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20.252,47</w:t>
            </w:r>
          </w:p>
          <w:p w14:paraId="10AC3B22" w14:textId="7D45FF11" w:rsidR="00786E2E" w:rsidRPr="0029787A" w:rsidRDefault="00786E2E" w:rsidP="009D2F75">
            <w:pPr>
              <w:pStyle w:val="Odlomakpopisa"/>
              <w:ind w:left="0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392" w:type="dxa"/>
            <w:shd w:val="clear" w:color="auto" w:fill="BFBFBF" w:themeFill="background1" w:themeFillShade="BF"/>
          </w:tcPr>
          <w:p w14:paraId="3A6537D5" w14:textId="57904BD0" w:rsidR="00B97F86" w:rsidRPr="0029787A" w:rsidRDefault="00786E2E" w:rsidP="00786E2E">
            <w:pPr>
              <w:pStyle w:val="Odlomakpopisa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98,63</w:t>
            </w:r>
            <w:r w:rsidR="00B97F86" w:rsidRPr="0029787A">
              <w:rPr>
                <w:b/>
                <w:bCs/>
                <w:lang w:eastAsia="en-US"/>
              </w:rPr>
              <w:t>%</w:t>
            </w:r>
          </w:p>
        </w:tc>
      </w:tr>
      <w:tr w:rsidR="00B97F86" w:rsidRPr="0029787A" w14:paraId="729090A7" w14:textId="77777777" w:rsidTr="009D2F75">
        <w:tc>
          <w:tcPr>
            <w:tcW w:w="5989" w:type="dxa"/>
            <w:shd w:val="clear" w:color="auto" w:fill="BFBFBF" w:themeFill="background1" w:themeFillShade="BF"/>
          </w:tcPr>
          <w:p w14:paraId="09400274" w14:textId="64702AF4" w:rsidR="00B97F86" w:rsidRPr="0029787A" w:rsidRDefault="00B97F86" w:rsidP="009D2F75">
            <w:pPr>
              <w:pStyle w:val="Odlomakpopisa"/>
              <w:ind w:left="0"/>
              <w:jc w:val="center"/>
              <w:rPr>
                <w:b/>
                <w:bCs/>
                <w:lang w:eastAsia="en-US"/>
              </w:rPr>
            </w:pPr>
            <w:r w:rsidRPr="0029787A">
              <w:rPr>
                <w:b/>
                <w:bCs/>
                <w:lang w:eastAsia="en-US"/>
              </w:rPr>
              <w:t>UKUPNO (</w:t>
            </w:r>
            <w:r w:rsidR="00B65644" w:rsidRPr="0029787A">
              <w:rPr>
                <w:b/>
                <w:bCs/>
                <w:lang w:eastAsia="en-US"/>
              </w:rPr>
              <w:t>3</w:t>
            </w:r>
            <w:r w:rsidRPr="0029787A">
              <w:rPr>
                <w:b/>
                <w:bCs/>
                <w:lang w:eastAsia="en-US"/>
              </w:rPr>
              <w:t>)</w:t>
            </w:r>
          </w:p>
        </w:tc>
        <w:tc>
          <w:tcPr>
            <w:tcW w:w="1679" w:type="dxa"/>
            <w:shd w:val="clear" w:color="auto" w:fill="BFBFBF" w:themeFill="background1" w:themeFillShade="BF"/>
          </w:tcPr>
          <w:p w14:paraId="77AADB74" w14:textId="36EDD8B5" w:rsidR="00B97F86" w:rsidRPr="0029787A" w:rsidRDefault="0099469B" w:rsidP="009D2F75">
            <w:pPr>
              <w:pStyle w:val="Odlomakpopisa"/>
              <w:ind w:left="0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2.202.611,53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14:paraId="70B1DDA2" w14:textId="0BE0BD04" w:rsidR="00B97F86" w:rsidRPr="0029787A" w:rsidRDefault="00B97F86" w:rsidP="009D2F75">
            <w:pPr>
              <w:pStyle w:val="Odlomakpopisa"/>
              <w:ind w:left="0"/>
              <w:jc w:val="center"/>
              <w:rPr>
                <w:b/>
                <w:bCs/>
                <w:lang w:eastAsia="en-US"/>
              </w:rPr>
            </w:pPr>
            <w:r w:rsidRPr="0029787A">
              <w:rPr>
                <w:b/>
                <w:bCs/>
                <w:lang w:eastAsia="en-US"/>
              </w:rPr>
              <w:t>9</w:t>
            </w:r>
            <w:r w:rsidR="00363C55">
              <w:rPr>
                <w:b/>
                <w:bCs/>
                <w:lang w:eastAsia="en-US"/>
              </w:rPr>
              <w:t>7,63</w:t>
            </w:r>
            <w:r w:rsidRPr="0029787A">
              <w:rPr>
                <w:b/>
                <w:bCs/>
                <w:lang w:eastAsia="en-US"/>
              </w:rPr>
              <w:t>%</w:t>
            </w:r>
          </w:p>
        </w:tc>
      </w:tr>
      <w:bookmarkEnd w:id="2"/>
    </w:tbl>
    <w:p w14:paraId="2F0A39CD" w14:textId="77777777" w:rsidR="00B97F86" w:rsidRPr="0029787A" w:rsidRDefault="00B97F86" w:rsidP="00B97F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43B76E" w14:textId="77777777" w:rsidR="00297CC9" w:rsidRPr="0029787A" w:rsidRDefault="00297CC9" w:rsidP="00AA2A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E5A3D2" w14:textId="15E8608A" w:rsidR="00AA2A44" w:rsidRDefault="00297CC9" w:rsidP="00AA2A44">
      <w:pPr>
        <w:jc w:val="both"/>
        <w:rPr>
          <w:rFonts w:ascii="Times New Roman" w:hAnsi="Times New Roman" w:cs="Times New Roman"/>
        </w:rPr>
      </w:pPr>
      <w:r w:rsidRPr="0029787A">
        <w:rPr>
          <w:rFonts w:ascii="Times New Roman" w:hAnsi="Times New Roman" w:cs="Times New Roman"/>
          <w:sz w:val="24"/>
          <w:szCs w:val="24"/>
        </w:rPr>
        <w:t>R</w:t>
      </w:r>
      <w:r w:rsidR="00AA2A44" w:rsidRPr="0029787A">
        <w:rPr>
          <w:rFonts w:ascii="Times New Roman" w:hAnsi="Times New Roman" w:cs="Times New Roman"/>
          <w:sz w:val="24"/>
          <w:szCs w:val="24"/>
        </w:rPr>
        <w:t xml:space="preserve">azlika ukupnih prihoda i primitaka te rashoda i izdataka  predstavlja </w:t>
      </w:r>
      <w:r w:rsidR="00363C55">
        <w:rPr>
          <w:rFonts w:ascii="Times New Roman" w:hAnsi="Times New Roman" w:cs="Times New Roman"/>
          <w:b/>
          <w:bCs/>
          <w:sz w:val="24"/>
          <w:szCs w:val="24"/>
        </w:rPr>
        <w:t xml:space="preserve">manjak </w:t>
      </w:r>
      <w:r w:rsidR="00AA2A44" w:rsidRPr="0029787A">
        <w:rPr>
          <w:rFonts w:ascii="Times New Roman" w:hAnsi="Times New Roman" w:cs="Times New Roman"/>
          <w:b/>
          <w:bCs/>
          <w:sz w:val="24"/>
          <w:szCs w:val="24"/>
        </w:rPr>
        <w:t xml:space="preserve"> u iznosu od </w:t>
      </w:r>
      <w:r w:rsidR="00C319E5">
        <w:rPr>
          <w:rFonts w:ascii="Times New Roman" w:hAnsi="Times New Roman" w:cs="Times New Roman"/>
          <w:b/>
          <w:bCs/>
          <w:sz w:val="24"/>
          <w:szCs w:val="24"/>
        </w:rPr>
        <w:t>4.763,60</w:t>
      </w:r>
      <w:r w:rsidR="00AA2A44" w:rsidRPr="00297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E21" w:rsidRPr="0029787A">
        <w:rPr>
          <w:rFonts w:ascii="Times New Roman" w:hAnsi="Times New Roman" w:cs="Times New Roman"/>
          <w:b/>
          <w:sz w:val="24"/>
          <w:szCs w:val="24"/>
        </w:rPr>
        <w:t>eur</w:t>
      </w:r>
      <w:r w:rsidR="00363C55">
        <w:rPr>
          <w:rFonts w:ascii="Times New Roman" w:hAnsi="Times New Roman" w:cs="Times New Roman"/>
          <w:b/>
        </w:rPr>
        <w:t>a.</w:t>
      </w:r>
    </w:p>
    <w:p w14:paraId="6B0E686B" w14:textId="22C8BFD8" w:rsidR="00297CC9" w:rsidRDefault="00297CC9" w:rsidP="00AA2A44">
      <w:pPr>
        <w:jc w:val="both"/>
        <w:rPr>
          <w:rFonts w:ascii="Times New Roman" w:hAnsi="Times New Roman" w:cs="Times New Roman"/>
        </w:rPr>
      </w:pPr>
    </w:p>
    <w:p w14:paraId="0A747566" w14:textId="7262AF26" w:rsidR="00297CC9" w:rsidRDefault="00242EDE" w:rsidP="00E02C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EDE">
        <w:rPr>
          <w:rFonts w:ascii="Times New Roman" w:hAnsi="Times New Roman" w:cs="Times New Roman"/>
          <w:b/>
          <w:bCs/>
          <w:sz w:val="24"/>
          <w:szCs w:val="24"/>
        </w:rPr>
        <w:t>2.Obrazloženje posebnog dijela financijskog plana-aktivnosti i projekata</w:t>
      </w:r>
    </w:p>
    <w:p w14:paraId="248CF744" w14:textId="77777777" w:rsidR="00791074" w:rsidRPr="00242EDE" w:rsidRDefault="00791074" w:rsidP="00E02C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8DC4C" w14:textId="21789414" w:rsidR="00297CC9" w:rsidRDefault="00297CC9" w:rsidP="00297CC9">
      <w:pPr>
        <w:spacing w:after="0" w:line="240" w:lineRule="auto"/>
        <w:rPr>
          <w:rFonts w:ascii="Times New Roman" w:hAnsi="Times New Roman" w:cs="Times New Roman"/>
        </w:rPr>
      </w:pPr>
      <w:r w:rsidRPr="00365690">
        <w:rPr>
          <w:rFonts w:ascii="Times New Roman" w:hAnsi="Times New Roman" w:cs="Times New Roman"/>
          <w:sz w:val="24"/>
          <w:szCs w:val="24"/>
        </w:rPr>
        <w:t>Svi rashodi i izdatci detaljno su vidljivi u posebnom dijelu izvještaja o izvršenju po programskoj i ekonomskoj klasifikaciji te izvorima financiranja gdje se oni prikazuju po programima i aktivnostima</w:t>
      </w:r>
      <w:r>
        <w:rPr>
          <w:rFonts w:ascii="Times New Roman" w:hAnsi="Times New Roman" w:cs="Times New Roman"/>
        </w:rPr>
        <w:t>.</w:t>
      </w:r>
    </w:p>
    <w:p w14:paraId="58EB73D1" w14:textId="77777777" w:rsidR="00365690" w:rsidRDefault="00365690" w:rsidP="00297CC9">
      <w:pPr>
        <w:spacing w:after="0" w:line="240" w:lineRule="auto"/>
        <w:rPr>
          <w:rFonts w:ascii="Times New Roman" w:hAnsi="Times New Roman" w:cs="Times New Roman"/>
        </w:rPr>
      </w:pPr>
    </w:p>
    <w:p w14:paraId="50C90810" w14:textId="22155936" w:rsidR="00F970D1" w:rsidRPr="00964474" w:rsidRDefault="00C37F78" w:rsidP="00297C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474">
        <w:rPr>
          <w:rFonts w:ascii="Times New Roman" w:hAnsi="Times New Roman" w:cs="Times New Roman"/>
          <w:b/>
          <w:sz w:val="24"/>
          <w:szCs w:val="24"/>
        </w:rPr>
        <w:t>Program 1020 Obrazovanje</w:t>
      </w:r>
      <w:r w:rsidR="00F3218C" w:rsidRPr="002F3A59">
        <w:rPr>
          <w:rFonts w:ascii="Times New Roman" w:hAnsi="Times New Roman" w:cs="Times New Roman"/>
          <w:sz w:val="24"/>
          <w:szCs w:val="24"/>
        </w:rPr>
        <w:t xml:space="preserve"> podijeljen je na</w:t>
      </w:r>
      <w:r w:rsidR="00365690" w:rsidRPr="002F3A59">
        <w:rPr>
          <w:rFonts w:ascii="Times New Roman" w:hAnsi="Times New Roman" w:cs="Times New Roman"/>
          <w:sz w:val="24"/>
          <w:szCs w:val="24"/>
        </w:rPr>
        <w:t xml:space="preserve">: </w:t>
      </w:r>
      <w:r w:rsidR="00F3218C" w:rsidRPr="00964474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 w:rsidR="00964474" w:rsidRPr="00964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18C" w:rsidRPr="00964474">
        <w:rPr>
          <w:rFonts w:ascii="Times New Roman" w:hAnsi="Times New Roman" w:cs="Times New Roman"/>
          <w:b/>
          <w:sz w:val="24"/>
          <w:szCs w:val="24"/>
        </w:rPr>
        <w:t>A10</w:t>
      </w:r>
      <w:r w:rsidRPr="00964474">
        <w:rPr>
          <w:rFonts w:ascii="Times New Roman" w:hAnsi="Times New Roman" w:cs="Times New Roman"/>
          <w:b/>
          <w:sz w:val="24"/>
          <w:szCs w:val="24"/>
        </w:rPr>
        <w:t>2007</w:t>
      </w:r>
      <w:r w:rsidR="00964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redovna djelatnost OŠ</w:t>
      </w:r>
      <w:r w:rsidR="00F3218C" w:rsidRPr="002F3A59">
        <w:rPr>
          <w:rFonts w:ascii="Times New Roman" w:hAnsi="Times New Roman" w:cs="Times New Roman"/>
          <w:sz w:val="24"/>
          <w:szCs w:val="24"/>
        </w:rPr>
        <w:t xml:space="preserve">, </w:t>
      </w:r>
      <w:bookmarkStart w:id="3" w:name="_Hlk130885690"/>
      <w:r w:rsidR="00F3218C" w:rsidRPr="00964474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 w:rsidR="00964474" w:rsidRPr="00964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18C" w:rsidRPr="00964474">
        <w:rPr>
          <w:rFonts w:ascii="Times New Roman" w:hAnsi="Times New Roman" w:cs="Times New Roman"/>
          <w:b/>
          <w:sz w:val="24"/>
          <w:szCs w:val="24"/>
        </w:rPr>
        <w:t>A10</w:t>
      </w:r>
      <w:r w:rsidRPr="00964474">
        <w:rPr>
          <w:rFonts w:ascii="Times New Roman" w:hAnsi="Times New Roman" w:cs="Times New Roman"/>
          <w:b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Redovna djelatnost OŠ – izvan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dec</w:t>
      </w:r>
      <w:proofErr w:type="spellEnd"/>
      <w:r>
        <w:rPr>
          <w:rFonts w:ascii="Times New Roman" w:hAnsi="Times New Roman" w:cs="Times New Roman"/>
          <w:sz w:val="24"/>
          <w:szCs w:val="24"/>
        </w:rPr>
        <w:t>. sredstava</w:t>
      </w:r>
      <w:r w:rsidR="00BF34A2" w:rsidRPr="002F3A59">
        <w:rPr>
          <w:rFonts w:ascii="Times New Roman" w:hAnsi="Times New Roman" w:cs="Times New Roman"/>
          <w:sz w:val="24"/>
          <w:szCs w:val="24"/>
        </w:rPr>
        <w:t>,</w:t>
      </w:r>
      <w:bookmarkEnd w:id="3"/>
      <w:r w:rsidR="00F3218C" w:rsidRPr="002F3A59">
        <w:rPr>
          <w:rFonts w:ascii="Times New Roman" w:hAnsi="Times New Roman" w:cs="Times New Roman"/>
          <w:sz w:val="24"/>
          <w:szCs w:val="24"/>
        </w:rPr>
        <w:t xml:space="preserve"> </w:t>
      </w:r>
      <w:r w:rsidR="00964474">
        <w:rPr>
          <w:rFonts w:ascii="Times New Roman" w:hAnsi="Times New Roman" w:cs="Times New Roman"/>
          <w:sz w:val="24"/>
          <w:szCs w:val="24"/>
        </w:rPr>
        <w:t xml:space="preserve"> </w:t>
      </w:r>
      <w:r w:rsidR="00F3218C" w:rsidRPr="00964474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 w:rsidR="00964474" w:rsidRPr="00964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18C" w:rsidRPr="00964474">
        <w:rPr>
          <w:rFonts w:ascii="Times New Roman" w:hAnsi="Times New Roman" w:cs="Times New Roman"/>
          <w:b/>
          <w:sz w:val="24"/>
          <w:szCs w:val="24"/>
        </w:rPr>
        <w:t>A10</w:t>
      </w:r>
      <w:r w:rsidRPr="00964474">
        <w:rPr>
          <w:rFonts w:ascii="Times New Roman" w:hAnsi="Times New Roman" w:cs="Times New Roman"/>
          <w:b/>
          <w:sz w:val="24"/>
          <w:szCs w:val="24"/>
        </w:rPr>
        <w:t>2009</w:t>
      </w:r>
      <w:r w:rsidR="00F3218C" w:rsidRPr="002F3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Prehrana za učenike osnovnih škola,</w:t>
      </w:r>
      <w:r w:rsidR="00BF34A2" w:rsidRPr="002F3A59">
        <w:rPr>
          <w:rFonts w:ascii="Times New Roman" w:hAnsi="Times New Roman" w:cs="Times New Roman"/>
          <w:sz w:val="24"/>
          <w:szCs w:val="24"/>
        </w:rPr>
        <w:t xml:space="preserve"> </w:t>
      </w:r>
      <w:r w:rsidR="00BF34A2" w:rsidRPr="00964474">
        <w:rPr>
          <w:rFonts w:ascii="Times New Roman" w:hAnsi="Times New Roman" w:cs="Times New Roman"/>
          <w:b/>
          <w:sz w:val="24"/>
          <w:szCs w:val="24"/>
        </w:rPr>
        <w:t xml:space="preserve">Kapitalni projekt </w:t>
      </w:r>
      <w:r w:rsidR="00964474" w:rsidRPr="00964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4A2" w:rsidRPr="00964474">
        <w:rPr>
          <w:rFonts w:ascii="Times New Roman" w:hAnsi="Times New Roman" w:cs="Times New Roman"/>
          <w:b/>
          <w:sz w:val="24"/>
          <w:szCs w:val="24"/>
        </w:rPr>
        <w:t>K10</w:t>
      </w:r>
      <w:r w:rsidRPr="00964474">
        <w:rPr>
          <w:rFonts w:ascii="Times New Roman" w:hAnsi="Times New Roman" w:cs="Times New Roman"/>
          <w:b/>
          <w:sz w:val="24"/>
          <w:szCs w:val="24"/>
        </w:rPr>
        <w:t>2004</w:t>
      </w:r>
      <w:r w:rsidR="00964474">
        <w:rPr>
          <w:rFonts w:ascii="Times New Roman" w:hAnsi="Times New Roman" w:cs="Times New Roman"/>
          <w:sz w:val="24"/>
          <w:szCs w:val="24"/>
        </w:rPr>
        <w:t xml:space="preserve"> </w:t>
      </w:r>
      <w:r w:rsidR="00BF34A2" w:rsidRPr="002F3A59">
        <w:rPr>
          <w:rFonts w:ascii="Times New Roman" w:hAnsi="Times New Roman" w:cs="Times New Roman"/>
          <w:sz w:val="24"/>
          <w:szCs w:val="24"/>
        </w:rPr>
        <w:t xml:space="preserve"> opremanje </w:t>
      </w:r>
      <w:r w:rsidR="006C02B9">
        <w:rPr>
          <w:rFonts w:ascii="Times New Roman" w:hAnsi="Times New Roman" w:cs="Times New Roman"/>
          <w:sz w:val="24"/>
          <w:szCs w:val="24"/>
        </w:rPr>
        <w:t xml:space="preserve">OŠ (nabava knjiga i opreme) </w:t>
      </w:r>
      <w:proofErr w:type="spellStart"/>
      <w:r w:rsidR="006C02B9">
        <w:rPr>
          <w:rFonts w:ascii="Times New Roman" w:hAnsi="Times New Roman" w:cs="Times New Roman"/>
          <w:sz w:val="24"/>
          <w:szCs w:val="24"/>
        </w:rPr>
        <w:t>dec</w:t>
      </w:r>
      <w:proofErr w:type="spellEnd"/>
      <w:r w:rsidR="006C02B9">
        <w:rPr>
          <w:rFonts w:ascii="Times New Roman" w:hAnsi="Times New Roman" w:cs="Times New Roman"/>
          <w:sz w:val="24"/>
          <w:szCs w:val="24"/>
        </w:rPr>
        <w:t xml:space="preserve">, </w:t>
      </w:r>
      <w:r w:rsidR="006C02B9" w:rsidRPr="00964474">
        <w:rPr>
          <w:rFonts w:ascii="Times New Roman" w:hAnsi="Times New Roman" w:cs="Times New Roman"/>
          <w:b/>
          <w:sz w:val="24"/>
          <w:szCs w:val="24"/>
        </w:rPr>
        <w:t xml:space="preserve">Kapitalni projekt </w:t>
      </w:r>
      <w:r w:rsidR="00964474" w:rsidRPr="00964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2B9" w:rsidRPr="00964474">
        <w:rPr>
          <w:rFonts w:ascii="Times New Roman" w:hAnsi="Times New Roman" w:cs="Times New Roman"/>
          <w:b/>
          <w:sz w:val="24"/>
          <w:szCs w:val="24"/>
        </w:rPr>
        <w:t>K102005</w:t>
      </w:r>
      <w:r w:rsidR="006C02B9">
        <w:rPr>
          <w:rFonts w:ascii="Times New Roman" w:hAnsi="Times New Roman" w:cs="Times New Roman"/>
          <w:sz w:val="24"/>
          <w:szCs w:val="24"/>
        </w:rPr>
        <w:t xml:space="preserve"> opremanje OŠ (nabava knjiga</w:t>
      </w:r>
      <w:r w:rsidR="001E0D31">
        <w:rPr>
          <w:rFonts w:ascii="Times New Roman" w:hAnsi="Times New Roman" w:cs="Times New Roman"/>
          <w:sz w:val="24"/>
          <w:szCs w:val="24"/>
        </w:rPr>
        <w:t xml:space="preserve"> i opreme</w:t>
      </w:r>
      <w:r w:rsidR="006C02B9">
        <w:rPr>
          <w:rFonts w:ascii="Times New Roman" w:hAnsi="Times New Roman" w:cs="Times New Roman"/>
          <w:sz w:val="24"/>
          <w:szCs w:val="24"/>
        </w:rPr>
        <w:t>)</w:t>
      </w:r>
      <w:r w:rsidR="001E0D31">
        <w:rPr>
          <w:rFonts w:ascii="Times New Roman" w:hAnsi="Times New Roman" w:cs="Times New Roman"/>
          <w:sz w:val="24"/>
          <w:szCs w:val="24"/>
        </w:rPr>
        <w:t xml:space="preserve"> izvan </w:t>
      </w:r>
      <w:proofErr w:type="spellStart"/>
      <w:r w:rsidR="001E0D31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="001E0D31">
        <w:rPr>
          <w:rFonts w:ascii="Times New Roman" w:hAnsi="Times New Roman" w:cs="Times New Roman"/>
          <w:sz w:val="24"/>
          <w:szCs w:val="24"/>
        </w:rPr>
        <w:t xml:space="preserve">,  </w:t>
      </w:r>
      <w:r w:rsidR="001E0D31" w:rsidRPr="00964474">
        <w:rPr>
          <w:rFonts w:ascii="Times New Roman" w:hAnsi="Times New Roman" w:cs="Times New Roman"/>
          <w:b/>
          <w:sz w:val="24"/>
          <w:szCs w:val="24"/>
        </w:rPr>
        <w:t>Tekući projekt : „Školski obrok za sve“ T102001</w:t>
      </w:r>
      <w:r w:rsidR="001E0D31">
        <w:rPr>
          <w:rFonts w:ascii="Times New Roman" w:hAnsi="Times New Roman" w:cs="Times New Roman"/>
          <w:sz w:val="24"/>
          <w:szCs w:val="24"/>
        </w:rPr>
        <w:t xml:space="preserve">, </w:t>
      </w:r>
      <w:r w:rsidR="001E0D31" w:rsidRPr="00964474">
        <w:rPr>
          <w:rFonts w:ascii="Times New Roman" w:hAnsi="Times New Roman" w:cs="Times New Roman"/>
          <w:b/>
          <w:sz w:val="24"/>
          <w:szCs w:val="24"/>
        </w:rPr>
        <w:t xml:space="preserve">Tekući projekt: „Pomoćnici u nastavi – faza V“ </w:t>
      </w:r>
      <w:r w:rsidR="00964474" w:rsidRPr="00964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D31" w:rsidRPr="00964474">
        <w:rPr>
          <w:rFonts w:ascii="Times New Roman" w:hAnsi="Times New Roman" w:cs="Times New Roman"/>
          <w:b/>
          <w:sz w:val="24"/>
          <w:szCs w:val="24"/>
        </w:rPr>
        <w:t xml:space="preserve">T102002, , Tekući projekt: „Pomoćnici u nastavi – faza VI“ </w:t>
      </w:r>
      <w:r w:rsidR="00964474" w:rsidRPr="00964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D31" w:rsidRPr="00964474">
        <w:rPr>
          <w:rFonts w:ascii="Times New Roman" w:hAnsi="Times New Roman" w:cs="Times New Roman"/>
          <w:b/>
          <w:sz w:val="24"/>
          <w:szCs w:val="24"/>
        </w:rPr>
        <w:t>T102005</w:t>
      </w:r>
      <w:r w:rsidR="001E0D31">
        <w:rPr>
          <w:rFonts w:ascii="Times New Roman" w:hAnsi="Times New Roman" w:cs="Times New Roman"/>
          <w:sz w:val="24"/>
          <w:szCs w:val="24"/>
        </w:rPr>
        <w:t xml:space="preserve"> i </w:t>
      </w:r>
      <w:r w:rsidR="001E0D31" w:rsidRPr="00964474">
        <w:rPr>
          <w:rFonts w:ascii="Times New Roman" w:hAnsi="Times New Roman" w:cs="Times New Roman"/>
          <w:b/>
          <w:sz w:val="24"/>
          <w:szCs w:val="24"/>
        </w:rPr>
        <w:t xml:space="preserve">Tekući projekt: Produženi boravak u osnovnoj školi </w:t>
      </w:r>
      <w:r w:rsidR="00964474" w:rsidRPr="00964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D31" w:rsidRPr="00964474">
        <w:rPr>
          <w:rFonts w:ascii="Times New Roman" w:hAnsi="Times New Roman" w:cs="Times New Roman"/>
          <w:b/>
          <w:sz w:val="24"/>
          <w:szCs w:val="24"/>
        </w:rPr>
        <w:t>T102006.</w:t>
      </w:r>
    </w:p>
    <w:p w14:paraId="188A2B5E" w14:textId="77777777" w:rsidR="001E0D31" w:rsidRPr="00964474" w:rsidRDefault="001E0D31" w:rsidP="00297C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E9C5D2" w14:textId="296066C2" w:rsidR="00FB0F52" w:rsidRPr="005D2A49" w:rsidRDefault="001E0D31" w:rsidP="00297C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Aktivnost redovna djelatnost  </w:t>
      </w:r>
      <w:r w:rsidR="00CC5CEC" w:rsidRPr="005D2A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3C55">
        <w:rPr>
          <w:rFonts w:ascii="Times New Roman" w:hAnsi="Times New Roman" w:cs="Times New Roman"/>
          <w:b/>
          <w:bCs/>
          <w:sz w:val="24"/>
          <w:szCs w:val="24"/>
        </w:rPr>
        <w:t xml:space="preserve"> OŠ Garešnica</w:t>
      </w:r>
    </w:p>
    <w:p w14:paraId="0958FD6F" w14:textId="77777777" w:rsidR="00587DCC" w:rsidRDefault="00587DCC" w:rsidP="00297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F3D5D" w14:textId="5ED663D4" w:rsidR="00CC5CEC" w:rsidRDefault="00752E8F" w:rsidP="00297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r</w:t>
      </w:r>
      <w:r w:rsidR="00B07A85">
        <w:rPr>
          <w:rFonts w:ascii="Times New Roman" w:hAnsi="Times New Roman" w:cs="Times New Roman"/>
          <w:sz w:val="24"/>
          <w:szCs w:val="24"/>
        </w:rPr>
        <w:t xml:space="preserve">ashodi za Aktivnost redovnu djelatnost </w:t>
      </w:r>
      <w:r>
        <w:rPr>
          <w:rFonts w:ascii="Times New Roman" w:hAnsi="Times New Roman" w:cs="Times New Roman"/>
          <w:sz w:val="24"/>
          <w:szCs w:val="24"/>
        </w:rPr>
        <w:t xml:space="preserve">iznose </w:t>
      </w:r>
      <w:r w:rsidR="006558CF">
        <w:rPr>
          <w:rFonts w:ascii="Times New Roman" w:hAnsi="Times New Roman" w:cs="Times New Roman"/>
          <w:sz w:val="24"/>
          <w:szCs w:val="24"/>
        </w:rPr>
        <w:t>94.216,41 eura, što je 123,50</w:t>
      </w:r>
      <w:r>
        <w:rPr>
          <w:rFonts w:ascii="Times New Roman" w:hAnsi="Times New Roman" w:cs="Times New Roman"/>
          <w:sz w:val="24"/>
          <w:szCs w:val="24"/>
        </w:rPr>
        <w:t>% plana.</w:t>
      </w:r>
      <w:r w:rsidR="00D34452">
        <w:rPr>
          <w:rFonts w:ascii="Times New Roman" w:hAnsi="Times New Roman" w:cs="Times New Roman"/>
          <w:sz w:val="24"/>
          <w:szCs w:val="24"/>
        </w:rPr>
        <w:t xml:space="preserve"> </w:t>
      </w:r>
      <w:r w:rsidR="00E11CDA">
        <w:rPr>
          <w:rFonts w:ascii="Times New Roman" w:hAnsi="Times New Roman" w:cs="Times New Roman"/>
          <w:sz w:val="24"/>
          <w:szCs w:val="24"/>
        </w:rPr>
        <w:t>Aktiv</w:t>
      </w:r>
      <w:r w:rsidR="006558CF">
        <w:rPr>
          <w:rFonts w:ascii="Times New Roman" w:hAnsi="Times New Roman" w:cs="Times New Roman"/>
          <w:sz w:val="24"/>
          <w:szCs w:val="24"/>
        </w:rPr>
        <w:t>nost se financira iz izvora: 5.2.4 državni proračun-</w:t>
      </w:r>
      <w:proofErr w:type="spellStart"/>
      <w:r w:rsidR="006558CF">
        <w:rPr>
          <w:rFonts w:ascii="Times New Roman" w:hAnsi="Times New Roman" w:cs="Times New Roman"/>
          <w:sz w:val="24"/>
          <w:szCs w:val="24"/>
        </w:rPr>
        <w:t>dec</w:t>
      </w:r>
      <w:proofErr w:type="spellEnd"/>
      <w:r w:rsidR="006558CF">
        <w:rPr>
          <w:rFonts w:ascii="Times New Roman" w:hAnsi="Times New Roman" w:cs="Times New Roman"/>
          <w:sz w:val="24"/>
          <w:szCs w:val="24"/>
        </w:rPr>
        <w:t>.</w:t>
      </w:r>
      <w:r w:rsidR="00456AD7">
        <w:rPr>
          <w:rFonts w:ascii="Times New Roman" w:hAnsi="Times New Roman" w:cs="Times New Roman"/>
          <w:sz w:val="24"/>
          <w:szCs w:val="24"/>
        </w:rPr>
        <w:t xml:space="preserve"> </w:t>
      </w:r>
      <w:r w:rsidR="006558CF">
        <w:rPr>
          <w:rFonts w:ascii="Times New Roman" w:hAnsi="Times New Roman" w:cs="Times New Roman"/>
          <w:sz w:val="24"/>
          <w:szCs w:val="24"/>
        </w:rPr>
        <w:t>sredstva školstvo.</w:t>
      </w:r>
      <w:r w:rsidR="003A63C3">
        <w:rPr>
          <w:rFonts w:ascii="Times New Roman" w:hAnsi="Times New Roman" w:cs="Times New Roman"/>
          <w:sz w:val="24"/>
          <w:szCs w:val="24"/>
        </w:rPr>
        <w:t xml:space="preserve"> Aktivnost obuhvaća  naknade troškova zaposlenima, rashode za materijal i energiju,</w:t>
      </w:r>
      <w:r w:rsidR="00B8795E">
        <w:rPr>
          <w:rFonts w:ascii="Times New Roman" w:hAnsi="Times New Roman" w:cs="Times New Roman"/>
          <w:sz w:val="24"/>
          <w:szCs w:val="24"/>
        </w:rPr>
        <w:t xml:space="preserve"> rashode za usluge i ostale rashode poslovanja. </w:t>
      </w:r>
    </w:p>
    <w:p w14:paraId="3144D6F9" w14:textId="77777777" w:rsidR="006E39F9" w:rsidRDefault="006E39F9" w:rsidP="00297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62599" w14:textId="77777777" w:rsidR="00E2611B" w:rsidRDefault="00E2611B" w:rsidP="00297C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BC7E4" w14:textId="77777777" w:rsidR="00E2611B" w:rsidRDefault="00E2611B" w:rsidP="00297C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2728F" w14:textId="77777777" w:rsidR="00E2611B" w:rsidRDefault="00E2611B" w:rsidP="00297C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58E88" w14:textId="77777777" w:rsidR="00E2611B" w:rsidRDefault="00E2611B" w:rsidP="00297C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DD33D" w14:textId="2E3FC0DB" w:rsidR="00C14EF8" w:rsidRPr="005D2A49" w:rsidRDefault="00C14EF8" w:rsidP="00297C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A4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Aktivnost </w:t>
      </w:r>
      <w:r w:rsidR="00F96DFB">
        <w:rPr>
          <w:rFonts w:ascii="Times New Roman" w:hAnsi="Times New Roman" w:cs="Times New Roman"/>
          <w:b/>
          <w:bCs/>
          <w:sz w:val="24"/>
          <w:szCs w:val="24"/>
        </w:rPr>
        <w:t xml:space="preserve"> Redovna djelatnost OŠ izvan </w:t>
      </w:r>
      <w:proofErr w:type="spellStart"/>
      <w:r w:rsidR="00F96DFB">
        <w:rPr>
          <w:rFonts w:ascii="Times New Roman" w:hAnsi="Times New Roman" w:cs="Times New Roman"/>
          <w:b/>
          <w:bCs/>
          <w:sz w:val="24"/>
          <w:szCs w:val="24"/>
        </w:rPr>
        <w:t>dec</w:t>
      </w:r>
      <w:proofErr w:type="spellEnd"/>
      <w:r w:rsidR="00F96D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56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6DFB">
        <w:rPr>
          <w:rFonts w:ascii="Times New Roman" w:hAnsi="Times New Roman" w:cs="Times New Roman"/>
          <w:b/>
          <w:bCs/>
          <w:sz w:val="24"/>
          <w:szCs w:val="24"/>
        </w:rPr>
        <w:t>sredstava</w:t>
      </w:r>
    </w:p>
    <w:p w14:paraId="6AAB35D0" w14:textId="77777777" w:rsidR="00D55411" w:rsidRDefault="00D55411" w:rsidP="00297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F0472" w14:textId="5B583F19" w:rsidR="0027076C" w:rsidRDefault="00565DA5" w:rsidP="00297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rashodi za navedenu aktivnost iznose </w:t>
      </w:r>
      <w:r w:rsidR="006558CF">
        <w:rPr>
          <w:rFonts w:ascii="Times New Roman" w:hAnsi="Times New Roman" w:cs="Times New Roman"/>
          <w:sz w:val="24"/>
          <w:szCs w:val="24"/>
        </w:rPr>
        <w:t xml:space="preserve">1.937.030,32 </w:t>
      </w:r>
      <w:r w:rsidR="004322B5">
        <w:rPr>
          <w:rFonts w:ascii="Times New Roman" w:hAnsi="Times New Roman" w:cs="Times New Roman"/>
          <w:sz w:val="24"/>
          <w:szCs w:val="24"/>
        </w:rPr>
        <w:t>eur</w:t>
      </w:r>
      <w:r w:rsidR="006558CF">
        <w:rPr>
          <w:rFonts w:ascii="Times New Roman" w:hAnsi="Times New Roman" w:cs="Times New Roman"/>
          <w:sz w:val="24"/>
          <w:szCs w:val="24"/>
        </w:rPr>
        <w:t>a</w:t>
      </w:r>
      <w:r w:rsidR="00F65832">
        <w:rPr>
          <w:rFonts w:ascii="Times New Roman" w:hAnsi="Times New Roman" w:cs="Times New Roman"/>
          <w:sz w:val="24"/>
          <w:szCs w:val="24"/>
        </w:rPr>
        <w:t>,</w:t>
      </w:r>
      <w:r w:rsidR="006558CF">
        <w:rPr>
          <w:rFonts w:ascii="Times New Roman" w:hAnsi="Times New Roman" w:cs="Times New Roman"/>
          <w:sz w:val="24"/>
          <w:szCs w:val="24"/>
        </w:rPr>
        <w:t xml:space="preserve"> što je 97,90</w:t>
      </w:r>
      <w:r w:rsidR="005D2A0E">
        <w:rPr>
          <w:rFonts w:ascii="Times New Roman" w:hAnsi="Times New Roman" w:cs="Times New Roman"/>
          <w:sz w:val="24"/>
          <w:szCs w:val="24"/>
        </w:rPr>
        <w:t>%</w:t>
      </w:r>
      <w:r w:rsidR="002E41F3">
        <w:rPr>
          <w:rFonts w:ascii="Times New Roman" w:hAnsi="Times New Roman" w:cs="Times New Roman"/>
          <w:sz w:val="24"/>
          <w:szCs w:val="24"/>
        </w:rPr>
        <w:t xml:space="preserve"> plana. Aktivnost obuhvaća</w:t>
      </w:r>
      <w:r w:rsidR="00E2611B">
        <w:rPr>
          <w:rFonts w:ascii="Times New Roman" w:hAnsi="Times New Roman" w:cs="Times New Roman"/>
          <w:sz w:val="24"/>
          <w:szCs w:val="24"/>
        </w:rPr>
        <w:t xml:space="preserve"> rashode za zaposlene, naknade za zaposlene, materijal i dijelove za tekuće i investicijsko održavanje, sitan inventar, usluge tekućeg i investicijskog održavanja, intelektualne, računalne i ostale usluge, ostale nespomenute rashode poslovanja.</w:t>
      </w:r>
    </w:p>
    <w:p w14:paraId="699A0BE7" w14:textId="40F9124C" w:rsidR="00296498" w:rsidRDefault="00296498" w:rsidP="00297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se financira iz izvora: </w:t>
      </w:r>
      <w:r w:rsidR="006558CF">
        <w:rPr>
          <w:rFonts w:ascii="Times New Roman" w:hAnsi="Times New Roman" w:cs="Times New Roman"/>
          <w:sz w:val="24"/>
          <w:szCs w:val="24"/>
        </w:rPr>
        <w:t xml:space="preserve">1.1.1. Opći prihodi i primici </w:t>
      </w:r>
      <w:r w:rsidR="00A62C6F">
        <w:rPr>
          <w:rFonts w:ascii="Times New Roman" w:hAnsi="Times New Roman" w:cs="Times New Roman"/>
          <w:sz w:val="24"/>
          <w:szCs w:val="24"/>
        </w:rPr>
        <w:t xml:space="preserve">. </w:t>
      </w:r>
      <w:r w:rsidR="006558CF">
        <w:rPr>
          <w:rFonts w:ascii="Times New Roman" w:hAnsi="Times New Roman" w:cs="Times New Roman"/>
          <w:sz w:val="24"/>
          <w:szCs w:val="24"/>
        </w:rPr>
        <w:t>3.1.2 V</w:t>
      </w:r>
      <w:r w:rsidR="00A62C6F">
        <w:rPr>
          <w:rFonts w:ascii="Times New Roman" w:hAnsi="Times New Roman" w:cs="Times New Roman"/>
          <w:sz w:val="24"/>
          <w:szCs w:val="24"/>
        </w:rPr>
        <w:t>lastiti prihodi</w:t>
      </w:r>
      <w:r w:rsidR="006558CF">
        <w:rPr>
          <w:rFonts w:ascii="Times New Roman" w:hAnsi="Times New Roman" w:cs="Times New Roman"/>
          <w:sz w:val="24"/>
          <w:szCs w:val="24"/>
        </w:rPr>
        <w:t xml:space="preserve"> , 5.2.2 Državni proračun i 6.1.2 Donacije-</w:t>
      </w:r>
      <w:r w:rsidR="00456AD7">
        <w:rPr>
          <w:rFonts w:ascii="Times New Roman" w:hAnsi="Times New Roman" w:cs="Times New Roman"/>
          <w:sz w:val="24"/>
          <w:szCs w:val="24"/>
        </w:rPr>
        <w:t xml:space="preserve"> proračunski </w:t>
      </w:r>
      <w:r w:rsidR="006558CF">
        <w:rPr>
          <w:rFonts w:ascii="Times New Roman" w:hAnsi="Times New Roman" w:cs="Times New Roman"/>
          <w:sz w:val="24"/>
          <w:szCs w:val="24"/>
        </w:rPr>
        <w:t xml:space="preserve"> korisnik.</w:t>
      </w:r>
      <w:r w:rsidR="005D541A">
        <w:rPr>
          <w:rFonts w:ascii="Times New Roman" w:hAnsi="Times New Roman" w:cs="Times New Roman"/>
          <w:sz w:val="24"/>
          <w:szCs w:val="24"/>
        </w:rPr>
        <w:t>.</w:t>
      </w:r>
    </w:p>
    <w:p w14:paraId="0C985DD6" w14:textId="77777777" w:rsidR="003D5273" w:rsidRDefault="003D5273" w:rsidP="00297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5B85B" w14:textId="6408FC3C" w:rsidR="003D5273" w:rsidRPr="005D2A49" w:rsidRDefault="003D5273" w:rsidP="00297C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A49">
        <w:rPr>
          <w:rFonts w:ascii="Times New Roman" w:hAnsi="Times New Roman" w:cs="Times New Roman"/>
          <w:b/>
          <w:bCs/>
          <w:sz w:val="24"/>
          <w:szCs w:val="24"/>
        </w:rPr>
        <w:t xml:space="preserve">Aktivnost </w:t>
      </w:r>
      <w:r w:rsidR="00F96DFB">
        <w:rPr>
          <w:rFonts w:ascii="Times New Roman" w:hAnsi="Times New Roman" w:cs="Times New Roman"/>
          <w:b/>
          <w:bCs/>
          <w:sz w:val="24"/>
          <w:szCs w:val="24"/>
        </w:rPr>
        <w:t>Prehrana za učenike osnovnih škola</w:t>
      </w:r>
    </w:p>
    <w:p w14:paraId="661C3F5B" w14:textId="77777777" w:rsidR="00ED5B21" w:rsidRDefault="00ED5B21" w:rsidP="00297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C599B" w14:textId="3D969F23" w:rsidR="007F1709" w:rsidRDefault="007F1709" w:rsidP="00297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rashodi za navedenu aktivnost iznose </w:t>
      </w:r>
      <w:r w:rsidR="006558CF">
        <w:rPr>
          <w:rFonts w:ascii="Times New Roman" w:hAnsi="Times New Roman" w:cs="Times New Roman"/>
          <w:sz w:val="24"/>
          <w:szCs w:val="24"/>
        </w:rPr>
        <w:t xml:space="preserve">97.969,57 </w:t>
      </w:r>
      <w:r w:rsidR="005C2601">
        <w:rPr>
          <w:rFonts w:ascii="Times New Roman" w:hAnsi="Times New Roman" w:cs="Times New Roman"/>
          <w:sz w:val="24"/>
          <w:szCs w:val="24"/>
        </w:rPr>
        <w:t>eur</w:t>
      </w:r>
      <w:r w:rsidR="00456AD7">
        <w:rPr>
          <w:rFonts w:ascii="Times New Roman" w:hAnsi="Times New Roman" w:cs="Times New Roman"/>
          <w:sz w:val="24"/>
          <w:szCs w:val="24"/>
        </w:rPr>
        <w:t>a</w:t>
      </w:r>
      <w:r w:rsidR="005C2601">
        <w:rPr>
          <w:rFonts w:ascii="Times New Roman" w:hAnsi="Times New Roman" w:cs="Times New Roman"/>
          <w:sz w:val="24"/>
          <w:szCs w:val="24"/>
        </w:rPr>
        <w:t xml:space="preserve"> što je 81,64</w:t>
      </w:r>
      <w:r w:rsidR="00962D01">
        <w:rPr>
          <w:rFonts w:ascii="Times New Roman" w:hAnsi="Times New Roman" w:cs="Times New Roman"/>
          <w:sz w:val="24"/>
          <w:szCs w:val="24"/>
        </w:rPr>
        <w:t>% od planiranog.</w:t>
      </w:r>
      <w:r w:rsidR="005C2601">
        <w:rPr>
          <w:rFonts w:ascii="Times New Roman" w:hAnsi="Times New Roman" w:cs="Times New Roman"/>
          <w:sz w:val="24"/>
          <w:szCs w:val="24"/>
        </w:rPr>
        <w:t xml:space="preserve"> Aktivnost  obuhvaća namirnice za prehranu učenika.</w:t>
      </w:r>
      <w:r w:rsidR="00F21DE9">
        <w:rPr>
          <w:rFonts w:ascii="Times New Roman" w:hAnsi="Times New Roman" w:cs="Times New Roman"/>
          <w:sz w:val="24"/>
          <w:szCs w:val="24"/>
        </w:rPr>
        <w:t xml:space="preserve"> Aktivnost</w:t>
      </w:r>
      <w:r w:rsidR="005C2601">
        <w:rPr>
          <w:rFonts w:ascii="Times New Roman" w:hAnsi="Times New Roman" w:cs="Times New Roman"/>
          <w:sz w:val="24"/>
          <w:szCs w:val="24"/>
        </w:rPr>
        <w:t xml:space="preserve"> se financira iz izvora: 5.2.2 Državni proračun- korisnici.</w:t>
      </w:r>
      <w:r w:rsidR="00F21D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39FA6" w14:textId="77777777" w:rsidR="004B688C" w:rsidRDefault="004B688C" w:rsidP="00297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325A7" w14:textId="77777777" w:rsidR="00F96DFB" w:rsidRDefault="007B44C5" w:rsidP="00297C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A49">
        <w:rPr>
          <w:rFonts w:ascii="Times New Roman" w:hAnsi="Times New Roman" w:cs="Times New Roman"/>
          <w:b/>
          <w:bCs/>
          <w:sz w:val="24"/>
          <w:szCs w:val="24"/>
        </w:rPr>
        <w:t>Kapitalni projekt: Opremanje</w:t>
      </w:r>
      <w:r w:rsidR="00F96DFB">
        <w:rPr>
          <w:rFonts w:ascii="Times New Roman" w:hAnsi="Times New Roman" w:cs="Times New Roman"/>
          <w:b/>
          <w:bCs/>
          <w:sz w:val="24"/>
          <w:szCs w:val="24"/>
        </w:rPr>
        <w:t xml:space="preserve"> OŠ- </w:t>
      </w:r>
      <w:proofErr w:type="spellStart"/>
      <w:r w:rsidR="00F96DFB">
        <w:rPr>
          <w:rFonts w:ascii="Times New Roman" w:hAnsi="Times New Roman" w:cs="Times New Roman"/>
          <w:b/>
          <w:bCs/>
          <w:sz w:val="24"/>
          <w:szCs w:val="24"/>
        </w:rPr>
        <w:t>dec</w:t>
      </w:r>
      <w:proofErr w:type="spellEnd"/>
      <w:r w:rsidR="00F96DF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58F727B" w14:textId="77777777" w:rsidR="00F96DFB" w:rsidRDefault="00F96DFB" w:rsidP="00297C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9F53B" w14:textId="6F3F68BB" w:rsidR="001A4A4F" w:rsidRDefault="001A4A4F" w:rsidP="00297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navedeni Kapitalni projekt iznose </w:t>
      </w:r>
      <w:r w:rsidR="005C2601">
        <w:rPr>
          <w:rFonts w:ascii="Times New Roman" w:hAnsi="Times New Roman" w:cs="Times New Roman"/>
          <w:sz w:val="24"/>
          <w:szCs w:val="24"/>
        </w:rPr>
        <w:t>6.848,86 eura što je 124,23</w:t>
      </w:r>
      <w:r>
        <w:rPr>
          <w:rFonts w:ascii="Times New Roman" w:hAnsi="Times New Roman" w:cs="Times New Roman"/>
          <w:sz w:val="24"/>
          <w:szCs w:val="24"/>
        </w:rPr>
        <w:t xml:space="preserve">% od planiranog. </w:t>
      </w:r>
      <w:r w:rsidR="00F747A1">
        <w:rPr>
          <w:rFonts w:ascii="Times New Roman" w:hAnsi="Times New Roman" w:cs="Times New Roman"/>
          <w:sz w:val="24"/>
          <w:szCs w:val="24"/>
        </w:rPr>
        <w:t xml:space="preserve">Aktivnost se financira iz izvora: </w:t>
      </w:r>
      <w:r w:rsidR="00B8795E">
        <w:rPr>
          <w:rFonts w:ascii="Times New Roman" w:hAnsi="Times New Roman" w:cs="Times New Roman"/>
          <w:sz w:val="24"/>
          <w:szCs w:val="24"/>
        </w:rPr>
        <w:t xml:space="preserve">5.2.4 Državni proračun – </w:t>
      </w:r>
      <w:proofErr w:type="spellStart"/>
      <w:r w:rsidR="00B8795E">
        <w:rPr>
          <w:rFonts w:ascii="Times New Roman" w:hAnsi="Times New Roman" w:cs="Times New Roman"/>
          <w:sz w:val="24"/>
          <w:szCs w:val="24"/>
        </w:rPr>
        <w:t>dec</w:t>
      </w:r>
      <w:proofErr w:type="spellEnd"/>
      <w:r w:rsidR="00B8795E">
        <w:rPr>
          <w:rFonts w:ascii="Times New Roman" w:hAnsi="Times New Roman" w:cs="Times New Roman"/>
          <w:sz w:val="24"/>
          <w:szCs w:val="24"/>
        </w:rPr>
        <w:t>.</w:t>
      </w:r>
      <w:r w:rsidR="00743FBD">
        <w:rPr>
          <w:rFonts w:ascii="Times New Roman" w:hAnsi="Times New Roman" w:cs="Times New Roman"/>
          <w:sz w:val="24"/>
          <w:szCs w:val="24"/>
        </w:rPr>
        <w:t xml:space="preserve"> </w:t>
      </w:r>
      <w:r w:rsidR="00B8795E">
        <w:rPr>
          <w:rFonts w:ascii="Times New Roman" w:hAnsi="Times New Roman" w:cs="Times New Roman"/>
          <w:sz w:val="24"/>
          <w:szCs w:val="24"/>
        </w:rPr>
        <w:t>sredstva.</w:t>
      </w:r>
      <w:r w:rsidR="001359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415D5" w14:textId="4240EACD" w:rsidR="00C03594" w:rsidRDefault="00C03594" w:rsidP="00297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CA206" w14:textId="25952139" w:rsidR="00F96DFB" w:rsidRDefault="00F96DFB" w:rsidP="00297C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A49">
        <w:rPr>
          <w:rFonts w:ascii="Times New Roman" w:hAnsi="Times New Roman" w:cs="Times New Roman"/>
          <w:b/>
          <w:bCs/>
          <w:sz w:val="24"/>
          <w:szCs w:val="24"/>
        </w:rPr>
        <w:t>Kapitalni projekt: Opremanje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OŠ- izvan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dec</w:t>
      </w:r>
      <w:r w:rsidR="00456AD7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</w:p>
    <w:p w14:paraId="6349249A" w14:textId="080E1C2A" w:rsidR="005C2601" w:rsidRDefault="005C2601" w:rsidP="00297C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EDF234" w14:textId="4CFA1898" w:rsidR="005C2601" w:rsidRDefault="005C2601" w:rsidP="005C2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rashodi za navedenu aktivnost iznose 13.403,61 eur</w:t>
      </w:r>
      <w:r w:rsidR="00456AD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što je 89,23% od planiranog. Aktivnost  obuhva</w:t>
      </w:r>
      <w:r w:rsidR="00B8795E">
        <w:rPr>
          <w:rFonts w:ascii="Times New Roman" w:hAnsi="Times New Roman" w:cs="Times New Roman"/>
          <w:sz w:val="24"/>
          <w:szCs w:val="24"/>
        </w:rPr>
        <w:t>ća n</w:t>
      </w:r>
      <w:r>
        <w:rPr>
          <w:rFonts w:ascii="Times New Roman" w:hAnsi="Times New Roman" w:cs="Times New Roman"/>
          <w:sz w:val="24"/>
          <w:szCs w:val="24"/>
        </w:rPr>
        <w:t>. Aktivnost se financira iz izvora: 5.2.2 Državni proračun- korisnici, 3.1.2 Vlastiti prihodi i I</w:t>
      </w:r>
      <w:r w:rsidR="00B8795E">
        <w:rPr>
          <w:rFonts w:ascii="Times New Roman" w:hAnsi="Times New Roman" w:cs="Times New Roman"/>
          <w:sz w:val="24"/>
          <w:szCs w:val="24"/>
        </w:rPr>
        <w:t xml:space="preserve">zvora 6.1.2 Donacije i 9.1.5 Viška prihoda iz </w:t>
      </w:r>
      <w:r w:rsidR="001B74BE">
        <w:rPr>
          <w:rFonts w:ascii="Times New Roman" w:hAnsi="Times New Roman" w:cs="Times New Roman"/>
          <w:sz w:val="24"/>
          <w:szCs w:val="24"/>
        </w:rPr>
        <w:t>prethodne godine.</w:t>
      </w:r>
    </w:p>
    <w:p w14:paraId="03CFFF1B" w14:textId="3A2AC6ED" w:rsidR="003A63C3" w:rsidRDefault="003A63C3" w:rsidP="00297C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ED9FFD" w14:textId="454A9FCE" w:rsidR="00F96DFB" w:rsidRDefault="00F96DFB" w:rsidP="00297C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Tekući projekt: „Školski obrok za sve“</w:t>
      </w:r>
    </w:p>
    <w:p w14:paraId="5AE16ABD" w14:textId="14C8CAC0" w:rsidR="003A63C3" w:rsidRDefault="003A63C3" w:rsidP="00297C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C0027" w14:textId="50FE9BD7" w:rsidR="003A63C3" w:rsidRDefault="003A63C3" w:rsidP="003A6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rashodi za navedenu aktivnost iznose </w:t>
      </w:r>
      <w:r w:rsidR="001B74BE">
        <w:rPr>
          <w:rFonts w:ascii="Times New Roman" w:hAnsi="Times New Roman" w:cs="Times New Roman"/>
          <w:sz w:val="24"/>
          <w:szCs w:val="24"/>
        </w:rPr>
        <w:t>4.392,99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4BE">
        <w:rPr>
          <w:rFonts w:ascii="Times New Roman" w:hAnsi="Times New Roman" w:cs="Times New Roman"/>
          <w:sz w:val="24"/>
          <w:szCs w:val="24"/>
        </w:rPr>
        <w:t>eur</w:t>
      </w:r>
      <w:r w:rsidR="00456AD7">
        <w:rPr>
          <w:rFonts w:ascii="Times New Roman" w:hAnsi="Times New Roman" w:cs="Times New Roman"/>
          <w:sz w:val="24"/>
          <w:szCs w:val="24"/>
        </w:rPr>
        <w:t>a</w:t>
      </w:r>
      <w:r w:rsidR="001B74BE">
        <w:rPr>
          <w:rFonts w:ascii="Times New Roman" w:hAnsi="Times New Roman" w:cs="Times New Roman"/>
          <w:sz w:val="24"/>
          <w:szCs w:val="24"/>
        </w:rPr>
        <w:t xml:space="preserve"> što je 97,62</w:t>
      </w:r>
      <w:r>
        <w:rPr>
          <w:rFonts w:ascii="Times New Roman" w:hAnsi="Times New Roman" w:cs="Times New Roman"/>
          <w:sz w:val="24"/>
          <w:szCs w:val="24"/>
        </w:rPr>
        <w:t>% od planiranog. Aktivnost  obuhvaća namirnice za prehranu učenika. Aktivnost se financira iz izvora: 5.2.2 Državni proračun- koris</w:t>
      </w:r>
      <w:r w:rsidR="001B74BE">
        <w:rPr>
          <w:rFonts w:ascii="Times New Roman" w:hAnsi="Times New Roman" w:cs="Times New Roman"/>
          <w:sz w:val="24"/>
          <w:szCs w:val="24"/>
        </w:rPr>
        <w:t>nici, 5.4.2 Pomoći institucija i pomoći EU.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B1C2F" w14:textId="6B6166B9" w:rsidR="00F96DFB" w:rsidRDefault="00F96DFB" w:rsidP="00297C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7DD18" w14:textId="08B2BDB5" w:rsidR="00F96DFB" w:rsidRDefault="00895868" w:rsidP="00A678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Tekući projekt: „Pomoćnici u nastavi – faza V</w:t>
      </w:r>
      <w:r w:rsidR="00A678F2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1B7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F5AD0C" w14:textId="2EFC6D4B" w:rsidR="003A63C3" w:rsidRDefault="003A63C3" w:rsidP="00A678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C9B25" w14:textId="52AD7ADE" w:rsidR="003A63C3" w:rsidRDefault="003A63C3" w:rsidP="003A6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rashodi za navedenu aktivnost iznose </w:t>
      </w:r>
      <w:r w:rsidR="001B74BE">
        <w:rPr>
          <w:rFonts w:ascii="Times New Roman" w:hAnsi="Times New Roman" w:cs="Times New Roman"/>
          <w:sz w:val="24"/>
          <w:szCs w:val="24"/>
        </w:rPr>
        <w:t>17.564,04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4BE">
        <w:rPr>
          <w:rFonts w:ascii="Times New Roman" w:hAnsi="Times New Roman" w:cs="Times New Roman"/>
          <w:sz w:val="24"/>
          <w:szCs w:val="24"/>
        </w:rPr>
        <w:t>eur</w:t>
      </w:r>
      <w:r w:rsidR="00456AD7">
        <w:rPr>
          <w:rFonts w:ascii="Times New Roman" w:hAnsi="Times New Roman" w:cs="Times New Roman"/>
          <w:sz w:val="24"/>
          <w:szCs w:val="24"/>
        </w:rPr>
        <w:t>a</w:t>
      </w:r>
      <w:r w:rsidR="001B74BE">
        <w:rPr>
          <w:rFonts w:ascii="Times New Roman" w:hAnsi="Times New Roman" w:cs="Times New Roman"/>
          <w:sz w:val="24"/>
          <w:szCs w:val="24"/>
        </w:rPr>
        <w:t xml:space="preserve"> što je 97,58</w:t>
      </w:r>
      <w:r>
        <w:rPr>
          <w:rFonts w:ascii="Times New Roman" w:hAnsi="Times New Roman" w:cs="Times New Roman"/>
          <w:sz w:val="24"/>
          <w:szCs w:val="24"/>
        </w:rPr>
        <w:t>% od planiranog. Aktivnost  obuhva</w:t>
      </w:r>
      <w:r w:rsidR="001B74BE">
        <w:rPr>
          <w:rFonts w:ascii="Times New Roman" w:hAnsi="Times New Roman" w:cs="Times New Roman"/>
          <w:sz w:val="24"/>
          <w:szCs w:val="24"/>
        </w:rPr>
        <w:t>ća rashode za plaće i ostale rashode za zaposlene.</w:t>
      </w:r>
      <w:r>
        <w:rPr>
          <w:rFonts w:ascii="Times New Roman" w:hAnsi="Times New Roman" w:cs="Times New Roman"/>
          <w:sz w:val="24"/>
          <w:szCs w:val="24"/>
        </w:rPr>
        <w:t xml:space="preserve"> Aktivnost se financira iz izvora: 5.2.2 Državni proračun- koris</w:t>
      </w:r>
      <w:r w:rsidR="001B74BE">
        <w:rPr>
          <w:rFonts w:ascii="Times New Roman" w:hAnsi="Times New Roman" w:cs="Times New Roman"/>
          <w:sz w:val="24"/>
          <w:szCs w:val="24"/>
        </w:rPr>
        <w:t xml:space="preserve">nici, 5.4.2 Pomoći institucija i pomoći EU. </w:t>
      </w:r>
    </w:p>
    <w:p w14:paraId="15F0D1C4" w14:textId="52AC0CB7" w:rsidR="001B74BE" w:rsidRDefault="001B74BE" w:rsidP="003A6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1BB77" w14:textId="6220EAE2" w:rsidR="001B74BE" w:rsidRDefault="001B74BE" w:rsidP="001B74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Tekući projekt: „Pomoćnici u nastavi – faza VI“ </w:t>
      </w:r>
    </w:p>
    <w:p w14:paraId="23DFDB10" w14:textId="5DE3AB0F" w:rsidR="001B74BE" w:rsidRDefault="001B74BE" w:rsidP="001B74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59EEF" w14:textId="644F88D6" w:rsidR="001B74BE" w:rsidRDefault="001B74BE" w:rsidP="001B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rashodi za navedenu aktivnost iznose 20.765,59 eur</w:t>
      </w:r>
      <w:r w:rsidR="00456AD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što je 96,24% od planiranog. Aktivnost  obuhvaća rashode za plaće i ostale rashode za zaposlene. Aktivnost se financira iz izvora: 5.2.1Državni proračun, 5.4.1 Pomoći institucija i pomoći EU i izvora 1.1.1 Opći prihodi i primici.</w:t>
      </w:r>
    </w:p>
    <w:p w14:paraId="72A7BB92" w14:textId="37BFB971" w:rsidR="00A678F2" w:rsidRDefault="00A678F2" w:rsidP="00A678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F67B5" w14:textId="77777777" w:rsidR="00E2611B" w:rsidRDefault="00E2611B" w:rsidP="00A678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B0F08" w14:textId="77777777" w:rsidR="00E2611B" w:rsidRDefault="00E2611B" w:rsidP="00A678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D3D09" w14:textId="77777777" w:rsidR="00E2611B" w:rsidRDefault="00E2611B" w:rsidP="00A678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5B66C" w14:textId="77777777" w:rsidR="00E2611B" w:rsidRDefault="00E2611B" w:rsidP="00A678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B0241" w14:textId="77777777" w:rsidR="00E2611B" w:rsidRDefault="00E2611B" w:rsidP="00A678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BAE08" w14:textId="25B43251" w:rsidR="00A678F2" w:rsidRDefault="00A678F2" w:rsidP="00A678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Tekući projekt: Produženi boravak u osnovnoj školi</w:t>
      </w:r>
    </w:p>
    <w:p w14:paraId="3148C74A" w14:textId="501223E5" w:rsidR="003A63C3" w:rsidRDefault="003A63C3" w:rsidP="00A678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C7CE5" w14:textId="318E5D1B" w:rsidR="003A63C3" w:rsidRDefault="003A63C3" w:rsidP="003A6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rashodi za navedenu aktivnost iznose </w:t>
      </w:r>
      <w:r w:rsidR="005D39A2">
        <w:rPr>
          <w:rFonts w:ascii="Times New Roman" w:hAnsi="Times New Roman" w:cs="Times New Roman"/>
          <w:sz w:val="24"/>
          <w:szCs w:val="24"/>
        </w:rPr>
        <w:t>10.420,14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9A2">
        <w:rPr>
          <w:rFonts w:ascii="Times New Roman" w:hAnsi="Times New Roman" w:cs="Times New Roman"/>
          <w:sz w:val="24"/>
          <w:szCs w:val="24"/>
        </w:rPr>
        <w:t>eur</w:t>
      </w:r>
      <w:r w:rsidR="00456AD7">
        <w:rPr>
          <w:rFonts w:ascii="Times New Roman" w:hAnsi="Times New Roman" w:cs="Times New Roman"/>
          <w:sz w:val="24"/>
          <w:szCs w:val="24"/>
        </w:rPr>
        <w:t>a</w:t>
      </w:r>
      <w:r w:rsidR="005D39A2">
        <w:rPr>
          <w:rFonts w:ascii="Times New Roman" w:hAnsi="Times New Roman" w:cs="Times New Roman"/>
          <w:sz w:val="24"/>
          <w:szCs w:val="24"/>
        </w:rPr>
        <w:t xml:space="preserve"> što je 63,93</w:t>
      </w:r>
      <w:r>
        <w:rPr>
          <w:rFonts w:ascii="Times New Roman" w:hAnsi="Times New Roman" w:cs="Times New Roman"/>
          <w:sz w:val="24"/>
          <w:szCs w:val="24"/>
        </w:rPr>
        <w:t>% od planiranog. Aktivnost  obuhvaća namirnice za prehranu učenika</w:t>
      </w:r>
      <w:r w:rsidR="005D39A2">
        <w:rPr>
          <w:rFonts w:ascii="Times New Roman" w:hAnsi="Times New Roman" w:cs="Times New Roman"/>
          <w:sz w:val="24"/>
          <w:szCs w:val="24"/>
        </w:rPr>
        <w:t xml:space="preserve"> u produženom boravku, ostale mater. rashode,  mater. rashode za plaće  i ostale rashode za zaposlene.</w:t>
      </w:r>
      <w:r>
        <w:rPr>
          <w:rFonts w:ascii="Times New Roman" w:hAnsi="Times New Roman" w:cs="Times New Roman"/>
          <w:sz w:val="24"/>
          <w:szCs w:val="24"/>
        </w:rPr>
        <w:t>. Aktivnost</w:t>
      </w:r>
      <w:r w:rsidR="005D39A2">
        <w:rPr>
          <w:rFonts w:ascii="Times New Roman" w:hAnsi="Times New Roman" w:cs="Times New Roman"/>
          <w:sz w:val="24"/>
          <w:szCs w:val="24"/>
        </w:rPr>
        <w:t xml:space="preserve"> se financira iz izvora: 1.1.1 Opći prihodi i primici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9A2">
        <w:rPr>
          <w:rFonts w:ascii="Times New Roman" w:hAnsi="Times New Roman" w:cs="Times New Roman"/>
          <w:sz w:val="24"/>
          <w:szCs w:val="24"/>
        </w:rPr>
        <w:t xml:space="preserve">i izvora </w:t>
      </w:r>
      <w:r>
        <w:rPr>
          <w:rFonts w:ascii="Times New Roman" w:hAnsi="Times New Roman" w:cs="Times New Roman"/>
          <w:sz w:val="24"/>
          <w:szCs w:val="24"/>
        </w:rPr>
        <w:t xml:space="preserve"> 3.1.2 Vlastiti prihodi </w:t>
      </w:r>
      <w:r w:rsidR="005D39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E04DBB" w14:textId="77777777" w:rsidR="003A63C3" w:rsidRDefault="003A63C3" w:rsidP="003A63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7E301" w14:textId="77777777" w:rsidR="003A63C3" w:rsidRDefault="003A63C3" w:rsidP="00A678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4E30A" w14:textId="77777777" w:rsidR="00C12B9B" w:rsidRDefault="00C12B9B" w:rsidP="00895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7E024" w14:textId="77777777" w:rsidR="00C12B9B" w:rsidRDefault="00C12B9B" w:rsidP="00895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67F54" w14:textId="25D6F7A9" w:rsidR="000C0FC2" w:rsidRPr="00895A0E" w:rsidRDefault="000C0FC2" w:rsidP="00895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A0E">
        <w:rPr>
          <w:rFonts w:ascii="Times New Roman" w:hAnsi="Times New Roman" w:cs="Times New Roman"/>
          <w:b/>
          <w:bCs/>
          <w:sz w:val="24"/>
          <w:szCs w:val="24"/>
        </w:rPr>
        <w:t xml:space="preserve">POSEBAN IZVJEŠTAJ </w:t>
      </w:r>
      <w:r w:rsidR="00895A0E" w:rsidRPr="00895A0E">
        <w:rPr>
          <w:rFonts w:ascii="Times New Roman" w:hAnsi="Times New Roman" w:cs="Times New Roman"/>
          <w:b/>
          <w:bCs/>
          <w:sz w:val="24"/>
          <w:szCs w:val="24"/>
        </w:rPr>
        <w:t>U GODIŠNJEM IZVJEŠTAJU O IZVRŠENJU FINANCISJKOG PLANA</w:t>
      </w:r>
    </w:p>
    <w:p w14:paraId="7BFC0955" w14:textId="77777777" w:rsidR="003D5273" w:rsidRDefault="003D5273" w:rsidP="00297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20C25" w14:textId="77777777" w:rsidR="00895A0E" w:rsidRDefault="00895A0E" w:rsidP="00297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E0908" w14:textId="606EE4F7" w:rsidR="005D541A" w:rsidRDefault="00AC4387" w:rsidP="00297C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4387">
        <w:rPr>
          <w:rFonts w:ascii="Times New Roman" w:hAnsi="Times New Roman" w:cs="Times New Roman"/>
          <w:b/>
          <w:bCs/>
          <w:sz w:val="24"/>
          <w:szCs w:val="24"/>
        </w:rPr>
        <w:t>1. Izvještaj o zaduživanju na domaćem i stranom tržištu kapitala</w:t>
      </w:r>
    </w:p>
    <w:p w14:paraId="58B4FDD9" w14:textId="77777777" w:rsidR="00AC4387" w:rsidRPr="00AC4387" w:rsidRDefault="00AC4387" w:rsidP="00297C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C307C" w14:textId="178C1EC0" w:rsidR="0056604E" w:rsidRDefault="00F0682C" w:rsidP="00297C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Osnovna škola Garešnica </w:t>
      </w:r>
      <w:r w:rsidR="00C178D9">
        <w:rPr>
          <w:rFonts w:ascii="Times New Roman" w:hAnsi="Times New Roman" w:cs="Times New Roman"/>
        </w:rPr>
        <w:t>u razdoblju od 01.01.2023.-31.12.2023.</w:t>
      </w:r>
      <w:r w:rsidR="003A63C3">
        <w:rPr>
          <w:rFonts w:ascii="Times New Roman" w:hAnsi="Times New Roman" w:cs="Times New Roman"/>
        </w:rPr>
        <w:t xml:space="preserve"> nije se zaduživala</w:t>
      </w:r>
      <w:r w:rsidR="00160EA9">
        <w:rPr>
          <w:rFonts w:ascii="Times New Roman" w:hAnsi="Times New Roman" w:cs="Times New Roman"/>
        </w:rPr>
        <w:t xml:space="preserve"> na domaćem i stranom tržištu kapitala</w:t>
      </w:r>
      <w:r w:rsidR="003A63C3">
        <w:rPr>
          <w:rFonts w:ascii="Times New Roman" w:hAnsi="Times New Roman" w:cs="Times New Roman"/>
        </w:rPr>
        <w:t>.</w:t>
      </w:r>
    </w:p>
    <w:p w14:paraId="7C4E880D" w14:textId="77777777" w:rsidR="00160EA9" w:rsidRDefault="00160EA9" w:rsidP="00297CC9">
      <w:pPr>
        <w:spacing w:after="0" w:line="240" w:lineRule="auto"/>
        <w:rPr>
          <w:rFonts w:ascii="Times New Roman" w:hAnsi="Times New Roman" w:cs="Times New Roman"/>
        </w:rPr>
      </w:pPr>
    </w:p>
    <w:p w14:paraId="3F98D639" w14:textId="5F52290F" w:rsidR="00AC4387" w:rsidRPr="002B0AF5" w:rsidRDefault="00AC4387" w:rsidP="00297CC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B0AF5">
        <w:rPr>
          <w:rFonts w:ascii="Times New Roman" w:hAnsi="Times New Roman" w:cs="Times New Roman"/>
          <w:b/>
          <w:bCs/>
        </w:rPr>
        <w:t xml:space="preserve">2. </w:t>
      </w:r>
      <w:r w:rsidR="00E225B6" w:rsidRPr="002B0AF5">
        <w:rPr>
          <w:rFonts w:ascii="Times New Roman" w:hAnsi="Times New Roman" w:cs="Times New Roman"/>
          <w:b/>
          <w:bCs/>
        </w:rPr>
        <w:t>Izvještaj o korištenju sredstava fondova Europske unije</w:t>
      </w:r>
    </w:p>
    <w:p w14:paraId="7388FC0B" w14:textId="77777777" w:rsidR="002B0AF5" w:rsidRDefault="002B0AF5" w:rsidP="00297CC9">
      <w:pPr>
        <w:spacing w:after="0" w:line="240" w:lineRule="auto"/>
        <w:rPr>
          <w:rFonts w:ascii="Times New Roman" w:hAnsi="Times New Roman" w:cs="Times New Roman"/>
        </w:rPr>
      </w:pPr>
    </w:p>
    <w:p w14:paraId="3469FE89" w14:textId="66CC3CBE" w:rsidR="00160EA9" w:rsidRDefault="00F0682C" w:rsidP="00297C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Osnovna škola Garešnica</w:t>
      </w:r>
      <w:r w:rsidR="00C178D9" w:rsidRPr="002B0AF5">
        <w:rPr>
          <w:rFonts w:ascii="Times New Roman" w:hAnsi="Times New Roman" w:cs="Times New Roman"/>
          <w:color w:val="000000"/>
          <w:sz w:val="24"/>
          <w:szCs w:val="24"/>
        </w:rPr>
        <w:t xml:space="preserve"> u razdoblju od 01.01.2023.-31.12.2023. </w:t>
      </w:r>
      <w:r w:rsidR="003A63C3">
        <w:rPr>
          <w:rFonts w:ascii="Times New Roman" w:hAnsi="Times New Roman" w:cs="Times New Roman"/>
          <w:color w:val="000000"/>
          <w:sz w:val="24"/>
          <w:szCs w:val="24"/>
        </w:rPr>
        <w:t xml:space="preserve">koristila je sredstva fondova EU za Projekt „Školski obrok za sve“ , Projekt „Pomoćnici  u nastavi - faza V“ i </w:t>
      </w:r>
    </w:p>
    <w:p w14:paraId="4443235C" w14:textId="1F70493C" w:rsidR="003A63C3" w:rsidRPr="002B0AF5" w:rsidRDefault="003A63C3" w:rsidP="00297C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„Pomoćnici u nastavi – faza VI „.</w:t>
      </w:r>
    </w:p>
    <w:p w14:paraId="35742BC7" w14:textId="77777777" w:rsidR="0051002F" w:rsidRDefault="0051002F" w:rsidP="00297CC9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14:paraId="089DF325" w14:textId="77777777" w:rsidR="007A5319" w:rsidRDefault="004D29B9" w:rsidP="00297C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5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Izvje</w:t>
      </w:r>
      <w:r w:rsidR="003D067A" w:rsidRPr="007A5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štaj o danim zajmovi</w:t>
      </w:r>
      <w:r w:rsidR="007A5319" w:rsidRPr="007A5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 i potraživanjima po danim zajmovima</w:t>
      </w:r>
    </w:p>
    <w:p w14:paraId="161B886D" w14:textId="77777777" w:rsidR="007A5319" w:rsidRPr="007A5319" w:rsidRDefault="007A5319" w:rsidP="00297C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E1821D" w14:textId="00A8F8C0" w:rsidR="0051002F" w:rsidRDefault="00F0682C" w:rsidP="00297C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Garešnica</w:t>
      </w:r>
      <w:r w:rsidR="0027237A">
        <w:rPr>
          <w:rFonts w:ascii="Times New Roman" w:hAnsi="Times New Roman" w:cs="Times New Roman"/>
        </w:rPr>
        <w:t xml:space="preserve"> u razdoblju od 0</w:t>
      </w:r>
      <w:r w:rsidR="00895868">
        <w:rPr>
          <w:rFonts w:ascii="Times New Roman" w:hAnsi="Times New Roman" w:cs="Times New Roman"/>
        </w:rPr>
        <w:t>1.01.2023.-31.12.2023.nije davala</w:t>
      </w:r>
      <w:r w:rsidR="0027237A">
        <w:rPr>
          <w:rFonts w:ascii="Times New Roman" w:hAnsi="Times New Roman" w:cs="Times New Roman"/>
        </w:rPr>
        <w:t xml:space="preserve"> zajmove, kao </w:t>
      </w:r>
      <w:r w:rsidR="00F316EF">
        <w:rPr>
          <w:rFonts w:ascii="Times New Roman" w:hAnsi="Times New Roman" w:cs="Times New Roman"/>
        </w:rPr>
        <w:t>ni u prijašnjim godinama, tako da nema iskazanih potraživanja.</w:t>
      </w:r>
    </w:p>
    <w:p w14:paraId="2F8A2740" w14:textId="77777777" w:rsidR="00160EA9" w:rsidRDefault="00160EA9" w:rsidP="00297CC9">
      <w:pPr>
        <w:spacing w:after="0" w:line="240" w:lineRule="auto"/>
        <w:rPr>
          <w:rFonts w:ascii="Times New Roman" w:hAnsi="Times New Roman" w:cs="Times New Roman"/>
        </w:rPr>
      </w:pPr>
    </w:p>
    <w:p w14:paraId="0779F471" w14:textId="40D15335" w:rsidR="00F316EF" w:rsidRDefault="00386C3D" w:rsidP="00297C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5D74">
        <w:rPr>
          <w:rFonts w:ascii="Times New Roman" w:hAnsi="Times New Roman" w:cs="Times New Roman"/>
          <w:b/>
          <w:bCs/>
          <w:sz w:val="24"/>
          <w:szCs w:val="24"/>
        </w:rPr>
        <w:t xml:space="preserve">4. Izvještaj o </w:t>
      </w:r>
      <w:r w:rsidR="00EB5637" w:rsidRPr="009D5D74">
        <w:rPr>
          <w:rFonts w:ascii="Times New Roman" w:hAnsi="Times New Roman" w:cs="Times New Roman"/>
          <w:b/>
          <w:bCs/>
          <w:sz w:val="24"/>
          <w:szCs w:val="24"/>
        </w:rPr>
        <w:t>stanju potraživanja</w:t>
      </w:r>
      <w:r w:rsidR="001444DD" w:rsidRPr="009D5D74">
        <w:rPr>
          <w:rFonts w:ascii="Times New Roman" w:hAnsi="Times New Roman" w:cs="Times New Roman"/>
          <w:b/>
          <w:bCs/>
          <w:sz w:val="24"/>
          <w:szCs w:val="24"/>
        </w:rPr>
        <w:t xml:space="preserve"> i dospjelih </w:t>
      </w:r>
      <w:r w:rsidR="009D5D74" w:rsidRPr="009D5D74">
        <w:rPr>
          <w:rFonts w:ascii="Times New Roman" w:hAnsi="Times New Roman" w:cs="Times New Roman"/>
          <w:b/>
          <w:bCs/>
          <w:sz w:val="24"/>
          <w:szCs w:val="24"/>
        </w:rPr>
        <w:t>obveza te o stanju potencijalnih obveza po osnovi sudskih sporova</w:t>
      </w:r>
    </w:p>
    <w:p w14:paraId="29AAA8AF" w14:textId="77777777" w:rsidR="009D5D74" w:rsidRDefault="009D5D74" w:rsidP="00297C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A10ED" w14:textId="7738FF41" w:rsidR="00831260" w:rsidRPr="0009089A" w:rsidRDefault="00105FDF" w:rsidP="00297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9A">
        <w:rPr>
          <w:rFonts w:ascii="Times New Roman" w:hAnsi="Times New Roman" w:cs="Times New Roman"/>
          <w:sz w:val="24"/>
          <w:szCs w:val="24"/>
        </w:rPr>
        <w:t>Osnovna škola Garešnica</w:t>
      </w:r>
      <w:r w:rsidR="00831260" w:rsidRPr="0009089A">
        <w:rPr>
          <w:rFonts w:ascii="Times New Roman" w:hAnsi="Times New Roman" w:cs="Times New Roman"/>
          <w:sz w:val="24"/>
          <w:szCs w:val="24"/>
        </w:rPr>
        <w:t xml:space="preserve"> u razdoblju od 01.01.2023. do 31.12.2023. godine ima iskazana</w:t>
      </w:r>
      <w:r w:rsidR="000C337D" w:rsidRPr="0009089A">
        <w:rPr>
          <w:rFonts w:ascii="Times New Roman" w:hAnsi="Times New Roman" w:cs="Times New Roman"/>
          <w:sz w:val="24"/>
          <w:szCs w:val="24"/>
        </w:rPr>
        <w:t xml:space="preserve"> sljedeća potraživanja</w:t>
      </w:r>
      <w:r w:rsidR="00B46A26" w:rsidRPr="0009089A">
        <w:rPr>
          <w:rFonts w:ascii="Times New Roman" w:hAnsi="Times New Roman" w:cs="Times New Roman"/>
          <w:sz w:val="24"/>
          <w:szCs w:val="24"/>
        </w:rPr>
        <w:t>:</w:t>
      </w:r>
    </w:p>
    <w:p w14:paraId="4E30E6E9" w14:textId="5A787F35" w:rsidR="000C337D" w:rsidRPr="0009089A" w:rsidRDefault="00B46A26" w:rsidP="00297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9A">
        <w:rPr>
          <w:rFonts w:ascii="Times New Roman" w:hAnsi="Times New Roman" w:cs="Times New Roman"/>
          <w:sz w:val="24"/>
          <w:szCs w:val="24"/>
        </w:rPr>
        <w:t>-</w:t>
      </w:r>
      <w:r w:rsidR="00E2645C" w:rsidRPr="0009089A">
        <w:rPr>
          <w:rFonts w:ascii="Times New Roman" w:hAnsi="Times New Roman" w:cs="Times New Roman"/>
          <w:sz w:val="24"/>
          <w:szCs w:val="24"/>
        </w:rPr>
        <w:t>za naknade koje se refundiraju</w:t>
      </w:r>
      <w:r w:rsidR="00C06103" w:rsidRPr="0009089A">
        <w:rPr>
          <w:rFonts w:ascii="Times New Roman" w:hAnsi="Times New Roman" w:cs="Times New Roman"/>
          <w:sz w:val="24"/>
          <w:szCs w:val="24"/>
        </w:rPr>
        <w:t xml:space="preserve"> </w:t>
      </w:r>
      <w:r w:rsidR="001B5E70" w:rsidRPr="0009089A">
        <w:rPr>
          <w:rFonts w:ascii="Times New Roman" w:hAnsi="Times New Roman" w:cs="Times New Roman"/>
          <w:sz w:val="24"/>
          <w:szCs w:val="24"/>
        </w:rPr>
        <w:t xml:space="preserve">od HZZO </w:t>
      </w:r>
      <w:r w:rsidR="00C06103" w:rsidRPr="0009089A">
        <w:rPr>
          <w:rFonts w:ascii="Times New Roman" w:hAnsi="Times New Roman" w:cs="Times New Roman"/>
          <w:sz w:val="24"/>
          <w:szCs w:val="24"/>
        </w:rPr>
        <w:t xml:space="preserve">za bolovanja zaposlenika </w:t>
      </w:r>
      <w:r w:rsidR="001B5E70" w:rsidRPr="0009089A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743FBD" w:rsidRPr="0009089A">
        <w:rPr>
          <w:rFonts w:ascii="Times New Roman" w:hAnsi="Times New Roman" w:cs="Times New Roman"/>
          <w:sz w:val="24"/>
          <w:szCs w:val="24"/>
        </w:rPr>
        <w:t>4.495,34</w:t>
      </w:r>
      <w:r w:rsidR="00506AF1" w:rsidRPr="0009089A">
        <w:rPr>
          <w:rFonts w:ascii="Times New Roman" w:hAnsi="Times New Roman" w:cs="Times New Roman"/>
          <w:sz w:val="24"/>
          <w:szCs w:val="24"/>
        </w:rPr>
        <w:t xml:space="preserve"> eur</w:t>
      </w:r>
      <w:r w:rsidR="002C4A01" w:rsidRPr="0009089A">
        <w:rPr>
          <w:rFonts w:ascii="Times New Roman" w:hAnsi="Times New Roman" w:cs="Times New Roman"/>
          <w:sz w:val="24"/>
          <w:szCs w:val="24"/>
        </w:rPr>
        <w:t>a</w:t>
      </w:r>
      <w:r w:rsidR="00C01278" w:rsidRPr="000908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25609" w14:textId="42FB3ED6" w:rsidR="00A631A0" w:rsidRPr="0009089A" w:rsidRDefault="00A631A0" w:rsidP="00297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9A">
        <w:rPr>
          <w:rFonts w:ascii="Times New Roman" w:hAnsi="Times New Roman" w:cs="Times New Roman"/>
          <w:sz w:val="24"/>
          <w:szCs w:val="24"/>
        </w:rPr>
        <w:t xml:space="preserve">-za prihode od pruženih usluga-dospjela </w:t>
      </w:r>
      <w:r w:rsidR="00597AED" w:rsidRPr="0009089A">
        <w:rPr>
          <w:rFonts w:ascii="Times New Roman" w:hAnsi="Times New Roman" w:cs="Times New Roman"/>
          <w:sz w:val="24"/>
          <w:szCs w:val="24"/>
        </w:rPr>
        <w:t xml:space="preserve"> 3.518,77</w:t>
      </w:r>
      <w:r w:rsidR="0066609C" w:rsidRPr="0009089A">
        <w:rPr>
          <w:rFonts w:ascii="Times New Roman" w:hAnsi="Times New Roman" w:cs="Times New Roman"/>
          <w:sz w:val="24"/>
          <w:szCs w:val="24"/>
        </w:rPr>
        <w:t xml:space="preserve"> eur</w:t>
      </w:r>
      <w:r w:rsidR="00D27D2A" w:rsidRPr="0009089A">
        <w:rPr>
          <w:rFonts w:ascii="Times New Roman" w:hAnsi="Times New Roman" w:cs="Times New Roman"/>
          <w:sz w:val="24"/>
          <w:szCs w:val="24"/>
        </w:rPr>
        <w:t>a</w:t>
      </w:r>
    </w:p>
    <w:p w14:paraId="54B0DCF8" w14:textId="0176E85B" w:rsidR="00F35AE7" w:rsidRPr="0009089A" w:rsidRDefault="0066609C" w:rsidP="00297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9A">
        <w:rPr>
          <w:rFonts w:ascii="Times New Roman" w:hAnsi="Times New Roman" w:cs="Times New Roman"/>
          <w:sz w:val="24"/>
          <w:szCs w:val="24"/>
        </w:rPr>
        <w:t>-za prihod</w:t>
      </w:r>
      <w:r w:rsidR="00597AED" w:rsidRPr="0009089A">
        <w:rPr>
          <w:rFonts w:ascii="Times New Roman" w:hAnsi="Times New Roman" w:cs="Times New Roman"/>
          <w:sz w:val="24"/>
          <w:szCs w:val="24"/>
        </w:rPr>
        <w:t xml:space="preserve">e od pruženih usluge-nedospjela     1.797,00 </w:t>
      </w:r>
      <w:r w:rsidR="00CB46FF" w:rsidRPr="0009089A">
        <w:rPr>
          <w:rFonts w:ascii="Times New Roman" w:hAnsi="Times New Roman" w:cs="Times New Roman"/>
          <w:sz w:val="24"/>
          <w:szCs w:val="24"/>
        </w:rPr>
        <w:t xml:space="preserve"> eur</w:t>
      </w:r>
      <w:r w:rsidR="00D27D2A" w:rsidRPr="0009089A">
        <w:rPr>
          <w:rFonts w:ascii="Times New Roman" w:hAnsi="Times New Roman" w:cs="Times New Roman"/>
          <w:sz w:val="24"/>
          <w:szCs w:val="24"/>
        </w:rPr>
        <w:t>a</w:t>
      </w:r>
    </w:p>
    <w:p w14:paraId="68A4FE2E" w14:textId="3F294324" w:rsidR="002C4A01" w:rsidRPr="0009089A" w:rsidRDefault="002C4A01" w:rsidP="00297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9A">
        <w:rPr>
          <w:rFonts w:ascii="Times New Roman" w:hAnsi="Times New Roman" w:cs="Times New Roman"/>
          <w:sz w:val="24"/>
          <w:szCs w:val="24"/>
        </w:rPr>
        <w:t>Ukupn</w:t>
      </w:r>
      <w:r w:rsidR="00597AED" w:rsidRPr="0009089A">
        <w:rPr>
          <w:rFonts w:ascii="Times New Roman" w:hAnsi="Times New Roman" w:cs="Times New Roman"/>
          <w:sz w:val="24"/>
          <w:szCs w:val="24"/>
        </w:rPr>
        <w:t>o potraživanja 9.811,11</w:t>
      </w:r>
      <w:r w:rsidR="0045026C" w:rsidRPr="0009089A">
        <w:rPr>
          <w:rFonts w:ascii="Times New Roman" w:hAnsi="Times New Roman" w:cs="Times New Roman"/>
          <w:sz w:val="24"/>
          <w:szCs w:val="24"/>
        </w:rPr>
        <w:t xml:space="preserve"> eura</w:t>
      </w:r>
      <w:r w:rsidR="004922C4" w:rsidRPr="0009089A">
        <w:rPr>
          <w:rFonts w:ascii="Times New Roman" w:hAnsi="Times New Roman" w:cs="Times New Roman"/>
          <w:sz w:val="24"/>
          <w:szCs w:val="24"/>
        </w:rPr>
        <w:t>.</w:t>
      </w:r>
    </w:p>
    <w:p w14:paraId="4FAF7EB9" w14:textId="77777777" w:rsidR="0045026C" w:rsidRPr="0009089A" w:rsidRDefault="0045026C" w:rsidP="00297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18751" w14:textId="21C8AC4E" w:rsidR="00787829" w:rsidRPr="0009089A" w:rsidRDefault="00787829" w:rsidP="00297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9A">
        <w:rPr>
          <w:rFonts w:ascii="Times New Roman" w:hAnsi="Times New Roman" w:cs="Times New Roman"/>
          <w:sz w:val="24"/>
          <w:szCs w:val="24"/>
        </w:rPr>
        <w:t>Na kraju izvještajnog razdoblja ukupno obveze za rashode poslovanja iznosile su</w:t>
      </w:r>
      <w:r w:rsidR="009C1F2C" w:rsidRPr="0009089A">
        <w:rPr>
          <w:rFonts w:ascii="Times New Roman" w:hAnsi="Times New Roman" w:cs="Times New Roman"/>
          <w:sz w:val="24"/>
          <w:szCs w:val="24"/>
        </w:rPr>
        <w:t xml:space="preserve"> </w:t>
      </w:r>
      <w:r w:rsidR="00743FBD" w:rsidRPr="0009089A">
        <w:rPr>
          <w:rFonts w:ascii="Times New Roman" w:hAnsi="Times New Roman" w:cs="Times New Roman"/>
          <w:sz w:val="24"/>
          <w:szCs w:val="24"/>
        </w:rPr>
        <w:t>187.983,81</w:t>
      </w:r>
      <w:r w:rsidR="009C1F2C" w:rsidRPr="0009089A">
        <w:rPr>
          <w:rFonts w:ascii="Times New Roman" w:hAnsi="Times New Roman" w:cs="Times New Roman"/>
          <w:sz w:val="24"/>
          <w:szCs w:val="24"/>
        </w:rPr>
        <w:t xml:space="preserve"> eura</w:t>
      </w:r>
      <w:r w:rsidR="00C153C2" w:rsidRPr="0009089A">
        <w:rPr>
          <w:rFonts w:ascii="Times New Roman" w:hAnsi="Times New Roman" w:cs="Times New Roman"/>
          <w:sz w:val="24"/>
          <w:szCs w:val="24"/>
        </w:rPr>
        <w:t>, a odnose se na</w:t>
      </w:r>
      <w:r w:rsidR="000C4CA2" w:rsidRPr="0009089A">
        <w:rPr>
          <w:rFonts w:ascii="Times New Roman" w:hAnsi="Times New Roman" w:cs="Times New Roman"/>
          <w:sz w:val="24"/>
          <w:szCs w:val="24"/>
        </w:rPr>
        <w:t>:</w:t>
      </w:r>
    </w:p>
    <w:p w14:paraId="67CF2199" w14:textId="767C8B13" w:rsidR="000C4CA2" w:rsidRPr="0009089A" w:rsidRDefault="003961D7" w:rsidP="00297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9A">
        <w:rPr>
          <w:rFonts w:ascii="Times New Roman" w:hAnsi="Times New Roman" w:cs="Times New Roman"/>
          <w:sz w:val="24"/>
          <w:szCs w:val="24"/>
        </w:rPr>
        <w:t>-</w:t>
      </w:r>
      <w:r w:rsidR="00743FBD" w:rsidRPr="0009089A">
        <w:rPr>
          <w:rFonts w:ascii="Times New Roman" w:hAnsi="Times New Roman" w:cs="Times New Roman"/>
          <w:sz w:val="24"/>
          <w:szCs w:val="24"/>
        </w:rPr>
        <w:t xml:space="preserve"> </w:t>
      </w:r>
      <w:r w:rsidRPr="0009089A">
        <w:rPr>
          <w:rFonts w:ascii="Times New Roman" w:hAnsi="Times New Roman" w:cs="Times New Roman"/>
          <w:sz w:val="24"/>
          <w:szCs w:val="24"/>
        </w:rPr>
        <w:t xml:space="preserve">obveze za zaposlene </w:t>
      </w:r>
      <w:r w:rsidR="00743FBD" w:rsidRPr="0009089A">
        <w:rPr>
          <w:rFonts w:ascii="Times New Roman" w:hAnsi="Times New Roman" w:cs="Times New Roman"/>
          <w:sz w:val="24"/>
          <w:szCs w:val="24"/>
        </w:rPr>
        <w:t>174.045,12</w:t>
      </w:r>
      <w:r w:rsidR="009C1F2C" w:rsidRPr="0009089A">
        <w:rPr>
          <w:rFonts w:ascii="Times New Roman" w:hAnsi="Times New Roman" w:cs="Times New Roman"/>
          <w:sz w:val="24"/>
          <w:szCs w:val="24"/>
        </w:rPr>
        <w:t xml:space="preserve"> eura</w:t>
      </w:r>
      <w:r w:rsidR="00743FBD" w:rsidRPr="0009089A">
        <w:rPr>
          <w:rFonts w:ascii="Times New Roman" w:hAnsi="Times New Roman" w:cs="Times New Roman"/>
          <w:sz w:val="24"/>
          <w:szCs w:val="24"/>
        </w:rPr>
        <w:t xml:space="preserve"> </w:t>
      </w:r>
      <w:r w:rsidR="009C1F2C" w:rsidRPr="0009089A">
        <w:rPr>
          <w:rFonts w:ascii="Times New Roman" w:hAnsi="Times New Roman" w:cs="Times New Roman"/>
          <w:sz w:val="24"/>
          <w:szCs w:val="24"/>
        </w:rPr>
        <w:t>-</w:t>
      </w:r>
      <w:r w:rsidR="00743FBD" w:rsidRPr="0009089A">
        <w:rPr>
          <w:rFonts w:ascii="Times New Roman" w:hAnsi="Times New Roman" w:cs="Times New Roman"/>
          <w:sz w:val="24"/>
          <w:szCs w:val="24"/>
        </w:rPr>
        <w:t xml:space="preserve"> </w:t>
      </w:r>
      <w:r w:rsidR="009C1F2C" w:rsidRPr="0009089A">
        <w:rPr>
          <w:rFonts w:ascii="Times New Roman" w:hAnsi="Times New Roman" w:cs="Times New Roman"/>
          <w:sz w:val="24"/>
          <w:szCs w:val="24"/>
        </w:rPr>
        <w:t>nedospjele</w:t>
      </w:r>
    </w:p>
    <w:p w14:paraId="21DE0BBF" w14:textId="22F0460D" w:rsidR="009C1F2C" w:rsidRPr="0009089A" w:rsidRDefault="009C1F2C" w:rsidP="00297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9A">
        <w:rPr>
          <w:rFonts w:ascii="Times New Roman" w:hAnsi="Times New Roman" w:cs="Times New Roman"/>
          <w:sz w:val="24"/>
          <w:szCs w:val="24"/>
        </w:rPr>
        <w:t>-</w:t>
      </w:r>
      <w:r w:rsidR="00743FBD" w:rsidRPr="0009089A">
        <w:rPr>
          <w:rFonts w:ascii="Times New Roman" w:hAnsi="Times New Roman" w:cs="Times New Roman"/>
          <w:sz w:val="24"/>
          <w:szCs w:val="24"/>
        </w:rPr>
        <w:t xml:space="preserve"> </w:t>
      </w:r>
      <w:r w:rsidRPr="0009089A">
        <w:rPr>
          <w:rFonts w:ascii="Times New Roman" w:hAnsi="Times New Roman" w:cs="Times New Roman"/>
          <w:sz w:val="24"/>
          <w:szCs w:val="24"/>
        </w:rPr>
        <w:t xml:space="preserve">obveze za materijalne rashode </w:t>
      </w:r>
      <w:r w:rsidR="00743FBD" w:rsidRPr="0009089A">
        <w:rPr>
          <w:rFonts w:ascii="Times New Roman" w:hAnsi="Times New Roman" w:cs="Times New Roman"/>
          <w:sz w:val="24"/>
          <w:szCs w:val="24"/>
        </w:rPr>
        <w:t>6.268,26</w:t>
      </w:r>
      <w:r w:rsidRPr="0009089A">
        <w:rPr>
          <w:rFonts w:ascii="Times New Roman" w:hAnsi="Times New Roman" w:cs="Times New Roman"/>
          <w:sz w:val="24"/>
          <w:szCs w:val="24"/>
        </w:rPr>
        <w:t xml:space="preserve"> eura</w:t>
      </w:r>
      <w:r w:rsidR="00743FBD" w:rsidRPr="0009089A">
        <w:rPr>
          <w:rFonts w:ascii="Times New Roman" w:hAnsi="Times New Roman" w:cs="Times New Roman"/>
          <w:sz w:val="24"/>
          <w:szCs w:val="24"/>
        </w:rPr>
        <w:t xml:space="preserve"> – </w:t>
      </w:r>
      <w:r w:rsidRPr="0009089A">
        <w:rPr>
          <w:rFonts w:ascii="Times New Roman" w:hAnsi="Times New Roman" w:cs="Times New Roman"/>
          <w:sz w:val="24"/>
          <w:szCs w:val="24"/>
        </w:rPr>
        <w:t>nedospjele</w:t>
      </w:r>
    </w:p>
    <w:p w14:paraId="12D4E2B0" w14:textId="494587D8" w:rsidR="00743FBD" w:rsidRPr="0009089A" w:rsidRDefault="00743FBD" w:rsidP="00297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9A">
        <w:rPr>
          <w:rFonts w:ascii="Times New Roman" w:hAnsi="Times New Roman" w:cs="Times New Roman"/>
          <w:sz w:val="24"/>
          <w:szCs w:val="24"/>
        </w:rPr>
        <w:t>- obveze za bolovanje 7.422,43 eura – nedospjele</w:t>
      </w:r>
    </w:p>
    <w:p w14:paraId="722B9B6D" w14:textId="68AD270F" w:rsidR="00743FBD" w:rsidRPr="0009089A" w:rsidRDefault="00743FBD" w:rsidP="00297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9A">
        <w:rPr>
          <w:rFonts w:ascii="Times New Roman" w:hAnsi="Times New Roman" w:cs="Times New Roman"/>
          <w:sz w:val="24"/>
          <w:szCs w:val="24"/>
        </w:rPr>
        <w:t>- obveze za predujmove 248,00 eura - nedospjele</w:t>
      </w:r>
    </w:p>
    <w:p w14:paraId="14D43C69" w14:textId="43D14ABF" w:rsidR="00C153C2" w:rsidRPr="0009089A" w:rsidRDefault="00C153C2" w:rsidP="00297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9A">
        <w:rPr>
          <w:rFonts w:ascii="Times New Roman" w:hAnsi="Times New Roman" w:cs="Times New Roman"/>
          <w:sz w:val="24"/>
          <w:szCs w:val="24"/>
        </w:rPr>
        <w:t>Dospjelih obveza nije bilo</w:t>
      </w:r>
      <w:r w:rsidR="000837AE" w:rsidRPr="0009089A">
        <w:rPr>
          <w:rFonts w:ascii="Times New Roman" w:hAnsi="Times New Roman" w:cs="Times New Roman"/>
          <w:sz w:val="24"/>
          <w:szCs w:val="24"/>
        </w:rPr>
        <w:t>.</w:t>
      </w:r>
    </w:p>
    <w:p w14:paraId="36BAEC1F" w14:textId="77777777" w:rsidR="00C153C2" w:rsidRDefault="00C153C2" w:rsidP="00297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FA7E0" w14:textId="77777777" w:rsidR="0009089A" w:rsidRDefault="0009089A" w:rsidP="00297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FB158" w14:textId="77777777" w:rsidR="0009089A" w:rsidRDefault="0009089A" w:rsidP="00297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F2AB6" w14:textId="77777777" w:rsidR="0009089A" w:rsidRPr="0009089A" w:rsidRDefault="0009089A" w:rsidP="00297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3E6E5" w14:textId="51DAE4F2" w:rsidR="00C153C2" w:rsidRPr="0009089A" w:rsidRDefault="00C153C2" w:rsidP="00297C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089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 w:rsidR="00320B91" w:rsidRPr="0009089A">
        <w:rPr>
          <w:rFonts w:ascii="Times New Roman" w:hAnsi="Times New Roman" w:cs="Times New Roman"/>
          <w:b/>
          <w:bCs/>
          <w:sz w:val="24"/>
          <w:szCs w:val="24"/>
        </w:rPr>
        <w:t>Izvještaj o stanju potencijalnih obveza po osnovi sudskih sporova</w:t>
      </w:r>
    </w:p>
    <w:p w14:paraId="439F9258" w14:textId="77777777" w:rsidR="00320B91" w:rsidRPr="0009089A" w:rsidRDefault="00320B91" w:rsidP="00297C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E0EAE" w14:textId="0A52B5EF" w:rsidR="00105FDF" w:rsidRPr="0009089A" w:rsidRDefault="00105FDF" w:rsidP="000908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89A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E32670" w:rsidRPr="0009089A">
        <w:rPr>
          <w:rFonts w:ascii="Times New Roman" w:hAnsi="Times New Roman" w:cs="Times New Roman"/>
          <w:sz w:val="24"/>
          <w:szCs w:val="24"/>
        </w:rPr>
        <w:t>Garešnica u razdoblju od 01.01.2023. do 31.12.2023. godine nema potencijalnih obveza po osnovi sudskih sporova</w:t>
      </w:r>
      <w:r w:rsidR="00E32670" w:rsidRPr="0009089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F6277C0" w14:textId="6C0AFC2E" w:rsidR="00B47CE8" w:rsidRPr="0009089A" w:rsidRDefault="00105FDF" w:rsidP="0009089A">
      <w:pPr>
        <w:jc w:val="both"/>
        <w:rPr>
          <w:rFonts w:ascii="Times New Roman" w:hAnsi="Times New Roman" w:cs="Times New Roman"/>
          <w:sz w:val="24"/>
          <w:szCs w:val="24"/>
        </w:rPr>
      </w:pPr>
      <w:r w:rsidRPr="0009089A">
        <w:rPr>
          <w:rFonts w:ascii="Times New Roman" w:hAnsi="Times New Roman" w:cs="Times New Roman"/>
          <w:sz w:val="24"/>
          <w:szCs w:val="24"/>
        </w:rPr>
        <w:t>U 2021. godini OŠ Garešnica zaprimila je tužbu radi naknade štete Pr-80/2021. kojom   tužitelj traži isplatu naknade od  3.092,44 eura (23.300,00 kn ) zajedno sa zakonskim kamatama. Dana 23. listopada 2023. godine održan je očevid na kojem sam po pozivu nazočio. Nova  rasprava zakazana je 27. veljače 2024., na kojoj ću biti</w:t>
      </w:r>
      <w:r w:rsidR="003A63C3" w:rsidRPr="0009089A">
        <w:rPr>
          <w:rFonts w:ascii="Times New Roman" w:hAnsi="Times New Roman" w:cs="Times New Roman"/>
          <w:sz w:val="24"/>
          <w:szCs w:val="24"/>
        </w:rPr>
        <w:t xml:space="preserve"> saslušan kao zakonsk</w:t>
      </w:r>
      <w:r w:rsidR="0009089A">
        <w:rPr>
          <w:rFonts w:ascii="Times New Roman" w:hAnsi="Times New Roman" w:cs="Times New Roman"/>
          <w:sz w:val="24"/>
          <w:szCs w:val="24"/>
        </w:rPr>
        <w:t>i</w:t>
      </w:r>
      <w:r w:rsidR="003A63C3" w:rsidRPr="0009089A">
        <w:rPr>
          <w:rFonts w:ascii="Times New Roman" w:hAnsi="Times New Roman" w:cs="Times New Roman"/>
          <w:sz w:val="24"/>
          <w:szCs w:val="24"/>
        </w:rPr>
        <w:t xml:space="preserve"> </w:t>
      </w:r>
      <w:r w:rsidRPr="0009089A">
        <w:rPr>
          <w:rFonts w:ascii="Times New Roman" w:hAnsi="Times New Roman" w:cs="Times New Roman"/>
          <w:sz w:val="24"/>
          <w:szCs w:val="24"/>
        </w:rPr>
        <w:t>zastupnik stranke u postupku. Ukoliko sud presudi da je škola dužna platiti odštetu tužitelju maksimalni iznos bi bio oko  4.500,00 eur</w:t>
      </w:r>
      <w:r w:rsidR="00321442">
        <w:rPr>
          <w:rFonts w:ascii="Times New Roman" w:hAnsi="Times New Roman" w:cs="Times New Roman"/>
          <w:sz w:val="24"/>
          <w:szCs w:val="24"/>
        </w:rPr>
        <w:t>a</w:t>
      </w:r>
      <w:bookmarkStart w:id="4" w:name="_GoBack"/>
      <w:bookmarkEnd w:id="4"/>
      <w:r w:rsidRPr="0009089A">
        <w:rPr>
          <w:rFonts w:ascii="Times New Roman" w:hAnsi="Times New Roman" w:cs="Times New Roman"/>
          <w:sz w:val="24"/>
          <w:szCs w:val="24"/>
        </w:rPr>
        <w:t xml:space="preserve"> . U tom slučaju tražit  ćemo </w:t>
      </w:r>
      <w:r w:rsidR="00B47CE8" w:rsidRPr="0009089A">
        <w:rPr>
          <w:rFonts w:ascii="Times New Roman" w:hAnsi="Times New Roman" w:cs="Times New Roman"/>
          <w:sz w:val="24"/>
          <w:szCs w:val="24"/>
        </w:rPr>
        <w:t>povrat cijelog isplaćenog iznosa od tvrtke koja je izvodila radove, tj. od njihovog osiguravatelja.</w:t>
      </w:r>
    </w:p>
    <w:p w14:paraId="7EDC4787" w14:textId="77777777" w:rsidR="009C1F2C" w:rsidRPr="0009089A" w:rsidRDefault="009C1F2C" w:rsidP="0009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88FDF" w14:textId="77777777" w:rsidR="00723BF8" w:rsidRPr="0009089A" w:rsidRDefault="00723BF8" w:rsidP="0009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40491" w14:textId="77777777" w:rsidR="00A3433D" w:rsidRPr="0009089A" w:rsidRDefault="00A3433D" w:rsidP="000908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84C2AC0" w14:textId="6483B961" w:rsidR="008967B8" w:rsidRPr="0009089A" w:rsidRDefault="00AC5566" w:rsidP="0009089A">
      <w:pPr>
        <w:jc w:val="both"/>
        <w:rPr>
          <w:rFonts w:ascii="Times New Roman" w:hAnsi="Times New Roman" w:cs="Times New Roman"/>
          <w:sz w:val="24"/>
          <w:szCs w:val="24"/>
        </w:rPr>
      </w:pPr>
      <w:r w:rsidRPr="0009089A">
        <w:rPr>
          <w:rFonts w:ascii="Times New Roman" w:hAnsi="Times New Roman" w:cs="Times New Roman"/>
          <w:sz w:val="24"/>
          <w:szCs w:val="24"/>
        </w:rPr>
        <w:t>G</w:t>
      </w:r>
      <w:r w:rsidR="002D24AD" w:rsidRPr="0009089A">
        <w:rPr>
          <w:rFonts w:ascii="Times New Roman" w:hAnsi="Times New Roman" w:cs="Times New Roman"/>
          <w:sz w:val="24"/>
          <w:szCs w:val="24"/>
        </w:rPr>
        <w:t>odišnji I</w:t>
      </w:r>
      <w:r w:rsidR="008967B8" w:rsidRPr="0009089A">
        <w:rPr>
          <w:rFonts w:ascii="Times New Roman" w:hAnsi="Times New Roman" w:cs="Times New Roman"/>
          <w:sz w:val="24"/>
          <w:szCs w:val="24"/>
        </w:rPr>
        <w:t>zvještaj o izvršenju</w:t>
      </w:r>
      <w:r w:rsidR="002D24AD" w:rsidRPr="0009089A">
        <w:rPr>
          <w:rFonts w:ascii="Times New Roman" w:hAnsi="Times New Roman" w:cs="Times New Roman"/>
          <w:sz w:val="24"/>
          <w:szCs w:val="24"/>
        </w:rPr>
        <w:t xml:space="preserve"> </w:t>
      </w:r>
      <w:r w:rsidR="00C3322D" w:rsidRPr="0009089A">
        <w:rPr>
          <w:rFonts w:ascii="Times New Roman" w:hAnsi="Times New Roman" w:cs="Times New Roman"/>
          <w:sz w:val="24"/>
          <w:szCs w:val="24"/>
        </w:rPr>
        <w:t>financijsk</w:t>
      </w:r>
      <w:r w:rsidR="00B47CE8" w:rsidRPr="0009089A">
        <w:rPr>
          <w:rFonts w:ascii="Times New Roman" w:hAnsi="Times New Roman" w:cs="Times New Roman"/>
          <w:sz w:val="24"/>
          <w:szCs w:val="24"/>
        </w:rPr>
        <w:t xml:space="preserve">og plana Osnovne škole Garešnica </w:t>
      </w:r>
      <w:r w:rsidR="00C3322D" w:rsidRPr="0009089A">
        <w:rPr>
          <w:rFonts w:ascii="Times New Roman" w:hAnsi="Times New Roman" w:cs="Times New Roman"/>
          <w:sz w:val="24"/>
          <w:szCs w:val="24"/>
        </w:rPr>
        <w:t xml:space="preserve"> za 202</w:t>
      </w:r>
      <w:r w:rsidR="00650123" w:rsidRPr="0009089A">
        <w:rPr>
          <w:rFonts w:ascii="Times New Roman" w:hAnsi="Times New Roman" w:cs="Times New Roman"/>
          <w:sz w:val="24"/>
          <w:szCs w:val="24"/>
        </w:rPr>
        <w:t>3</w:t>
      </w:r>
      <w:r w:rsidR="00C3322D" w:rsidRPr="0009089A">
        <w:rPr>
          <w:rFonts w:ascii="Times New Roman" w:hAnsi="Times New Roman" w:cs="Times New Roman"/>
          <w:sz w:val="24"/>
          <w:szCs w:val="24"/>
        </w:rPr>
        <w:t>. godinu</w:t>
      </w:r>
      <w:r w:rsidR="00A22A48" w:rsidRPr="0009089A">
        <w:rPr>
          <w:rFonts w:ascii="Times New Roman" w:hAnsi="Times New Roman" w:cs="Times New Roman"/>
          <w:sz w:val="24"/>
          <w:szCs w:val="24"/>
        </w:rPr>
        <w:t xml:space="preserve"> </w:t>
      </w:r>
      <w:r w:rsidR="008967B8" w:rsidRPr="0009089A">
        <w:rPr>
          <w:rFonts w:ascii="Times New Roman" w:hAnsi="Times New Roman" w:cs="Times New Roman"/>
          <w:sz w:val="24"/>
          <w:szCs w:val="24"/>
        </w:rPr>
        <w:t xml:space="preserve">objavit će se </w:t>
      </w:r>
      <w:r w:rsidR="00A3433D" w:rsidRPr="0009089A">
        <w:rPr>
          <w:rFonts w:ascii="Times New Roman" w:hAnsi="Times New Roman" w:cs="Times New Roman"/>
          <w:sz w:val="24"/>
          <w:szCs w:val="24"/>
        </w:rPr>
        <w:t>na internetskim str</w:t>
      </w:r>
      <w:r w:rsidR="00B47CE8" w:rsidRPr="0009089A">
        <w:rPr>
          <w:rFonts w:ascii="Times New Roman" w:hAnsi="Times New Roman" w:cs="Times New Roman"/>
          <w:sz w:val="24"/>
          <w:szCs w:val="24"/>
        </w:rPr>
        <w:t>anicama Osnovne škole Garešnica.</w:t>
      </w:r>
    </w:p>
    <w:p w14:paraId="4860F56B" w14:textId="77777777" w:rsidR="002E762C" w:rsidRPr="0009089A" w:rsidRDefault="002E762C" w:rsidP="000908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B3F578" w14:textId="282FE49B" w:rsidR="00BC3810" w:rsidRPr="0009089A" w:rsidRDefault="005C24B7" w:rsidP="00BC3810">
      <w:pPr>
        <w:ind w:left="1411" w:firstLine="4253"/>
        <w:jc w:val="center"/>
        <w:rPr>
          <w:rFonts w:ascii="Times New Roman" w:hAnsi="Times New Roman" w:cs="Times New Roman"/>
          <w:sz w:val="24"/>
          <w:szCs w:val="24"/>
        </w:rPr>
      </w:pPr>
      <w:r w:rsidRPr="0009089A">
        <w:rPr>
          <w:rFonts w:ascii="Times New Roman" w:hAnsi="Times New Roman" w:cs="Times New Roman"/>
          <w:sz w:val="24"/>
          <w:szCs w:val="24"/>
        </w:rPr>
        <w:t>Ravnatelj:</w:t>
      </w:r>
    </w:p>
    <w:p w14:paraId="3361E5B9" w14:textId="2D4BD552" w:rsidR="008873E2" w:rsidRPr="00A14779" w:rsidRDefault="00B47CE8" w:rsidP="00BC3810">
      <w:pPr>
        <w:ind w:left="1411" w:firstLine="4253"/>
        <w:jc w:val="center"/>
        <w:rPr>
          <w:rFonts w:ascii="Times New Roman" w:hAnsi="Times New Roman" w:cs="Times New Roman"/>
          <w:sz w:val="24"/>
          <w:szCs w:val="24"/>
        </w:rPr>
      </w:pPr>
      <w:r w:rsidRPr="00A14779">
        <w:rPr>
          <w:rFonts w:ascii="Times New Roman" w:hAnsi="Times New Roman" w:cs="Times New Roman"/>
          <w:sz w:val="24"/>
          <w:szCs w:val="24"/>
        </w:rPr>
        <w:t xml:space="preserve">Slaven </w:t>
      </w:r>
      <w:proofErr w:type="spellStart"/>
      <w:r w:rsidRPr="00A14779">
        <w:rPr>
          <w:rFonts w:ascii="Times New Roman" w:hAnsi="Times New Roman" w:cs="Times New Roman"/>
          <w:sz w:val="24"/>
          <w:szCs w:val="24"/>
        </w:rPr>
        <w:t>Marenić</w:t>
      </w:r>
      <w:proofErr w:type="spellEnd"/>
      <w:r w:rsidR="00456AD7">
        <w:rPr>
          <w:rFonts w:ascii="Times New Roman" w:hAnsi="Times New Roman" w:cs="Times New Roman"/>
          <w:sz w:val="24"/>
          <w:szCs w:val="24"/>
        </w:rPr>
        <w:t>,</w:t>
      </w:r>
      <w:r w:rsidRPr="00A14779">
        <w:rPr>
          <w:rFonts w:ascii="Times New Roman" w:hAnsi="Times New Roman" w:cs="Times New Roman"/>
          <w:sz w:val="24"/>
          <w:szCs w:val="24"/>
        </w:rPr>
        <w:t xml:space="preserve"> prof.</w:t>
      </w:r>
    </w:p>
    <w:sectPr w:rsidR="008873E2" w:rsidRPr="00A14779" w:rsidSect="00473AA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8CB8B" w14:textId="77777777" w:rsidR="008458A8" w:rsidRDefault="008458A8" w:rsidP="00BC3810">
      <w:pPr>
        <w:spacing w:after="0" w:line="240" w:lineRule="auto"/>
      </w:pPr>
      <w:r>
        <w:separator/>
      </w:r>
    </w:p>
  </w:endnote>
  <w:endnote w:type="continuationSeparator" w:id="0">
    <w:p w14:paraId="24B5C731" w14:textId="77777777" w:rsidR="008458A8" w:rsidRDefault="008458A8" w:rsidP="00BC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Times New Roman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BC4C4" w14:textId="77777777" w:rsidR="008458A8" w:rsidRDefault="008458A8" w:rsidP="00BC3810">
      <w:pPr>
        <w:spacing w:after="0" w:line="240" w:lineRule="auto"/>
      </w:pPr>
      <w:r>
        <w:separator/>
      </w:r>
    </w:p>
  </w:footnote>
  <w:footnote w:type="continuationSeparator" w:id="0">
    <w:p w14:paraId="342117F8" w14:textId="77777777" w:rsidR="008458A8" w:rsidRDefault="008458A8" w:rsidP="00BC3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34699" w14:textId="77777777" w:rsidR="00F65832" w:rsidRDefault="00F65832" w:rsidP="00BC3810">
    <w:pPr>
      <w:tabs>
        <w:tab w:val="left" w:pos="2741"/>
        <w:tab w:val="left" w:pos="766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31B91" w14:textId="77777777" w:rsidR="00F65832" w:rsidRDefault="00F65832" w:rsidP="00BC3810">
    <w:pPr>
      <w:tabs>
        <w:tab w:val="left" w:pos="2741"/>
        <w:tab w:val="left" w:pos="76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23B0"/>
    <w:multiLevelType w:val="hybridMultilevel"/>
    <w:tmpl w:val="6C4655E6"/>
    <w:lvl w:ilvl="0" w:tplc="9E3A8BC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DE6256"/>
    <w:multiLevelType w:val="hybridMultilevel"/>
    <w:tmpl w:val="B328A6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41E8F"/>
    <w:multiLevelType w:val="hybridMultilevel"/>
    <w:tmpl w:val="0AE65E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64B6A"/>
    <w:multiLevelType w:val="hybridMultilevel"/>
    <w:tmpl w:val="9A6CA018"/>
    <w:lvl w:ilvl="0" w:tplc="0322902E">
      <w:start w:val="1"/>
      <w:numFmt w:val="bullet"/>
      <w:lvlText w:val="-"/>
      <w:lvlJc w:val="left"/>
      <w:pPr>
        <w:ind w:left="2160" w:hanging="360"/>
      </w:pPr>
      <w:rPr>
        <w:rFonts w:ascii="Aptos" w:eastAsia="Aptos" w:hAnsi="Aptos" w:cs="Times New Roman" w:hint="default"/>
      </w:rPr>
    </w:lvl>
    <w:lvl w:ilvl="1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54796A"/>
    <w:multiLevelType w:val="hybridMultilevel"/>
    <w:tmpl w:val="7A6C06E8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2AA12D2"/>
    <w:multiLevelType w:val="hybridMultilevel"/>
    <w:tmpl w:val="229E882E"/>
    <w:lvl w:ilvl="0" w:tplc="E392D7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52351"/>
    <w:multiLevelType w:val="hybridMultilevel"/>
    <w:tmpl w:val="A7563B4C"/>
    <w:lvl w:ilvl="0" w:tplc="040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320932C4"/>
    <w:multiLevelType w:val="hybridMultilevel"/>
    <w:tmpl w:val="EACE919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607E3"/>
    <w:multiLevelType w:val="hybridMultilevel"/>
    <w:tmpl w:val="0F7C68BC"/>
    <w:lvl w:ilvl="0" w:tplc="2D126DF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06A55"/>
    <w:multiLevelType w:val="hybridMultilevel"/>
    <w:tmpl w:val="35D828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A54EB"/>
    <w:multiLevelType w:val="hybridMultilevel"/>
    <w:tmpl w:val="F4FE5AA4"/>
    <w:lvl w:ilvl="0" w:tplc="E57E9E3E">
      <w:numFmt w:val="bullet"/>
      <w:lvlText w:val="-"/>
      <w:lvlJc w:val="left"/>
      <w:pPr>
        <w:ind w:left="2629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1" w15:restartNumberingAfterBreak="0">
    <w:nsid w:val="51A01B3D"/>
    <w:multiLevelType w:val="multilevel"/>
    <w:tmpl w:val="B8981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D887E3B"/>
    <w:multiLevelType w:val="hybridMultilevel"/>
    <w:tmpl w:val="9B8A978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73818"/>
    <w:multiLevelType w:val="hybridMultilevel"/>
    <w:tmpl w:val="BCFE0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D0A3B"/>
    <w:multiLevelType w:val="multilevel"/>
    <w:tmpl w:val="1B7E1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2"/>
  </w:num>
  <w:num w:numId="12">
    <w:abstractNumId w:val="4"/>
  </w:num>
  <w:num w:numId="13">
    <w:abstractNumId w:val="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10"/>
    <w:rsid w:val="000015EC"/>
    <w:rsid w:val="0001012D"/>
    <w:rsid w:val="00010171"/>
    <w:rsid w:val="00011928"/>
    <w:rsid w:val="000143C1"/>
    <w:rsid w:val="0001449D"/>
    <w:rsid w:val="00015937"/>
    <w:rsid w:val="00017DAF"/>
    <w:rsid w:val="00017F92"/>
    <w:rsid w:val="00021E5E"/>
    <w:rsid w:val="00023419"/>
    <w:rsid w:val="00023CEC"/>
    <w:rsid w:val="00024937"/>
    <w:rsid w:val="00025795"/>
    <w:rsid w:val="00026F4A"/>
    <w:rsid w:val="000308F6"/>
    <w:rsid w:val="00030A85"/>
    <w:rsid w:val="000329A8"/>
    <w:rsid w:val="00032F5D"/>
    <w:rsid w:val="00036093"/>
    <w:rsid w:val="0003674A"/>
    <w:rsid w:val="00040934"/>
    <w:rsid w:val="000433A5"/>
    <w:rsid w:val="00043757"/>
    <w:rsid w:val="00045A4B"/>
    <w:rsid w:val="00046F93"/>
    <w:rsid w:val="00052DD1"/>
    <w:rsid w:val="00052FD5"/>
    <w:rsid w:val="000549F0"/>
    <w:rsid w:val="00054EF4"/>
    <w:rsid w:val="00060161"/>
    <w:rsid w:val="000603BE"/>
    <w:rsid w:val="00062758"/>
    <w:rsid w:val="0006323B"/>
    <w:rsid w:val="00064024"/>
    <w:rsid w:val="00065ED1"/>
    <w:rsid w:val="0006683C"/>
    <w:rsid w:val="000674FC"/>
    <w:rsid w:val="000678C3"/>
    <w:rsid w:val="00067B6B"/>
    <w:rsid w:val="00067C60"/>
    <w:rsid w:val="00070697"/>
    <w:rsid w:val="00071FBC"/>
    <w:rsid w:val="0007513B"/>
    <w:rsid w:val="00082C8E"/>
    <w:rsid w:val="000837AE"/>
    <w:rsid w:val="00083CEF"/>
    <w:rsid w:val="00084C44"/>
    <w:rsid w:val="0008502F"/>
    <w:rsid w:val="000877B5"/>
    <w:rsid w:val="0008799B"/>
    <w:rsid w:val="000901C5"/>
    <w:rsid w:val="0009089A"/>
    <w:rsid w:val="00091CCE"/>
    <w:rsid w:val="00093E29"/>
    <w:rsid w:val="00097ED4"/>
    <w:rsid w:val="000A0F8E"/>
    <w:rsid w:val="000A2AC0"/>
    <w:rsid w:val="000A2B26"/>
    <w:rsid w:val="000A621A"/>
    <w:rsid w:val="000B0369"/>
    <w:rsid w:val="000B1A62"/>
    <w:rsid w:val="000B3B05"/>
    <w:rsid w:val="000B4E7E"/>
    <w:rsid w:val="000B7093"/>
    <w:rsid w:val="000C0FC2"/>
    <w:rsid w:val="000C1BCA"/>
    <w:rsid w:val="000C24A8"/>
    <w:rsid w:val="000C2D84"/>
    <w:rsid w:val="000C3236"/>
    <w:rsid w:val="000C337D"/>
    <w:rsid w:val="000C4CA2"/>
    <w:rsid w:val="000C504A"/>
    <w:rsid w:val="000C5821"/>
    <w:rsid w:val="000C62B5"/>
    <w:rsid w:val="000C74D5"/>
    <w:rsid w:val="000C7E36"/>
    <w:rsid w:val="000D07BF"/>
    <w:rsid w:val="000D1D27"/>
    <w:rsid w:val="000D2C0F"/>
    <w:rsid w:val="000D348B"/>
    <w:rsid w:val="000D629D"/>
    <w:rsid w:val="000D6682"/>
    <w:rsid w:val="000E4164"/>
    <w:rsid w:val="000E4DBD"/>
    <w:rsid w:val="000E4F28"/>
    <w:rsid w:val="000E6A81"/>
    <w:rsid w:val="000E72CD"/>
    <w:rsid w:val="000F4D49"/>
    <w:rsid w:val="000F633B"/>
    <w:rsid w:val="000F6C8B"/>
    <w:rsid w:val="00102478"/>
    <w:rsid w:val="00104E19"/>
    <w:rsid w:val="00105F44"/>
    <w:rsid w:val="00105FDF"/>
    <w:rsid w:val="00107FD9"/>
    <w:rsid w:val="001104BD"/>
    <w:rsid w:val="001109E6"/>
    <w:rsid w:val="001113DE"/>
    <w:rsid w:val="001126B4"/>
    <w:rsid w:val="001126CD"/>
    <w:rsid w:val="00113F16"/>
    <w:rsid w:val="00115DE2"/>
    <w:rsid w:val="00115E47"/>
    <w:rsid w:val="00115F8C"/>
    <w:rsid w:val="0011669C"/>
    <w:rsid w:val="00120375"/>
    <w:rsid w:val="00121BFB"/>
    <w:rsid w:val="001263D3"/>
    <w:rsid w:val="001308A2"/>
    <w:rsid w:val="001340C4"/>
    <w:rsid w:val="00134B6F"/>
    <w:rsid w:val="0013535C"/>
    <w:rsid w:val="001357EA"/>
    <w:rsid w:val="00135940"/>
    <w:rsid w:val="00137A2E"/>
    <w:rsid w:val="0014058D"/>
    <w:rsid w:val="00141539"/>
    <w:rsid w:val="00142A8B"/>
    <w:rsid w:val="0014360E"/>
    <w:rsid w:val="001444DD"/>
    <w:rsid w:val="00145A11"/>
    <w:rsid w:val="00147E47"/>
    <w:rsid w:val="001504C5"/>
    <w:rsid w:val="0015176B"/>
    <w:rsid w:val="00153B6C"/>
    <w:rsid w:val="00153F35"/>
    <w:rsid w:val="00155FD6"/>
    <w:rsid w:val="00156CAB"/>
    <w:rsid w:val="00160E6C"/>
    <w:rsid w:val="00160EA9"/>
    <w:rsid w:val="00163BDA"/>
    <w:rsid w:val="00170157"/>
    <w:rsid w:val="001714F7"/>
    <w:rsid w:val="00171D3D"/>
    <w:rsid w:val="00173DD7"/>
    <w:rsid w:val="00175A34"/>
    <w:rsid w:val="0017630D"/>
    <w:rsid w:val="00176773"/>
    <w:rsid w:val="00183BB4"/>
    <w:rsid w:val="0018440E"/>
    <w:rsid w:val="001859B5"/>
    <w:rsid w:val="0018604B"/>
    <w:rsid w:val="001904A7"/>
    <w:rsid w:val="00191657"/>
    <w:rsid w:val="00194C5D"/>
    <w:rsid w:val="001A0945"/>
    <w:rsid w:val="001A267C"/>
    <w:rsid w:val="001A4A4F"/>
    <w:rsid w:val="001A5BC6"/>
    <w:rsid w:val="001A6C5E"/>
    <w:rsid w:val="001B0731"/>
    <w:rsid w:val="001B5E70"/>
    <w:rsid w:val="001B74BE"/>
    <w:rsid w:val="001B7D84"/>
    <w:rsid w:val="001C261C"/>
    <w:rsid w:val="001C3242"/>
    <w:rsid w:val="001C5764"/>
    <w:rsid w:val="001C6A71"/>
    <w:rsid w:val="001D2219"/>
    <w:rsid w:val="001D4B7A"/>
    <w:rsid w:val="001D5680"/>
    <w:rsid w:val="001D600E"/>
    <w:rsid w:val="001E0D31"/>
    <w:rsid w:val="001E3F40"/>
    <w:rsid w:val="001E4412"/>
    <w:rsid w:val="001E516A"/>
    <w:rsid w:val="001E5C05"/>
    <w:rsid w:val="001E60EE"/>
    <w:rsid w:val="001E7AA1"/>
    <w:rsid w:val="001F0973"/>
    <w:rsid w:val="001F6F61"/>
    <w:rsid w:val="00202973"/>
    <w:rsid w:val="00206C55"/>
    <w:rsid w:val="002104C7"/>
    <w:rsid w:val="002174EB"/>
    <w:rsid w:val="002216AC"/>
    <w:rsid w:val="002245BD"/>
    <w:rsid w:val="00226806"/>
    <w:rsid w:val="00227F2D"/>
    <w:rsid w:val="00231FDD"/>
    <w:rsid w:val="00232127"/>
    <w:rsid w:val="002322C2"/>
    <w:rsid w:val="00234B6F"/>
    <w:rsid w:val="0023582A"/>
    <w:rsid w:val="002361EC"/>
    <w:rsid w:val="00237B15"/>
    <w:rsid w:val="00242217"/>
    <w:rsid w:val="002424AF"/>
    <w:rsid w:val="00242EDE"/>
    <w:rsid w:val="00243800"/>
    <w:rsid w:val="002454BF"/>
    <w:rsid w:val="00246F3E"/>
    <w:rsid w:val="002477AD"/>
    <w:rsid w:val="002514CF"/>
    <w:rsid w:val="002528FF"/>
    <w:rsid w:val="00252EB7"/>
    <w:rsid w:val="0025501E"/>
    <w:rsid w:val="002560DD"/>
    <w:rsid w:val="00257B27"/>
    <w:rsid w:val="002660AA"/>
    <w:rsid w:val="00267C38"/>
    <w:rsid w:val="0027076C"/>
    <w:rsid w:val="00271C47"/>
    <w:rsid w:val="0027237A"/>
    <w:rsid w:val="00274520"/>
    <w:rsid w:val="00276DE2"/>
    <w:rsid w:val="0028117F"/>
    <w:rsid w:val="00281B7A"/>
    <w:rsid w:val="0028423D"/>
    <w:rsid w:val="00284E21"/>
    <w:rsid w:val="00284E24"/>
    <w:rsid w:val="002921BF"/>
    <w:rsid w:val="0029348C"/>
    <w:rsid w:val="00295B73"/>
    <w:rsid w:val="00296498"/>
    <w:rsid w:val="0029787A"/>
    <w:rsid w:val="00297CC9"/>
    <w:rsid w:val="002A0051"/>
    <w:rsid w:val="002A0788"/>
    <w:rsid w:val="002A08CC"/>
    <w:rsid w:val="002A4B41"/>
    <w:rsid w:val="002A637F"/>
    <w:rsid w:val="002A6B61"/>
    <w:rsid w:val="002B00C5"/>
    <w:rsid w:val="002B0AF5"/>
    <w:rsid w:val="002B3ACB"/>
    <w:rsid w:val="002B5C64"/>
    <w:rsid w:val="002B6F06"/>
    <w:rsid w:val="002B75CD"/>
    <w:rsid w:val="002C0D72"/>
    <w:rsid w:val="002C439B"/>
    <w:rsid w:val="002C4A01"/>
    <w:rsid w:val="002C5493"/>
    <w:rsid w:val="002D0416"/>
    <w:rsid w:val="002D0CE4"/>
    <w:rsid w:val="002D12EC"/>
    <w:rsid w:val="002D24AD"/>
    <w:rsid w:val="002D36B9"/>
    <w:rsid w:val="002D3E22"/>
    <w:rsid w:val="002D4251"/>
    <w:rsid w:val="002D4FEB"/>
    <w:rsid w:val="002D6471"/>
    <w:rsid w:val="002D6955"/>
    <w:rsid w:val="002D69EB"/>
    <w:rsid w:val="002D6CCD"/>
    <w:rsid w:val="002E01EA"/>
    <w:rsid w:val="002E0396"/>
    <w:rsid w:val="002E41F3"/>
    <w:rsid w:val="002E6E93"/>
    <w:rsid w:val="002E762C"/>
    <w:rsid w:val="002F28FD"/>
    <w:rsid w:val="002F3A59"/>
    <w:rsid w:val="002F590D"/>
    <w:rsid w:val="002F6F0E"/>
    <w:rsid w:val="00300A29"/>
    <w:rsid w:val="003066D1"/>
    <w:rsid w:val="003101F7"/>
    <w:rsid w:val="00310516"/>
    <w:rsid w:val="003113BC"/>
    <w:rsid w:val="00314C1B"/>
    <w:rsid w:val="00316679"/>
    <w:rsid w:val="0031753E"/>
    <w:rsid w:val="003201ED"/>
    <w:rsid w:val="00320B91"/>
    <w:rsid w:val="00321442"/>
    <w:rsid w:val="00325BFA"/>
    <w:rsid w:val="00327748"/>
    <w:rsid w:val="00327870"/>
    <w:rsid w:val="00333C47"/>
    <w:rsid w:val="00336476"/>
    <w:rsid w:val="003366FD"/>
    <w:rsid w:val="0033781C"/>
    <w:rsid w:val="003452B3"/>
    <w:rsid w:val="003454D8"/>
    <w:rsid w:val="003454F1"/>
    <w:rsid w:val="00345B94"/>
    <w:rsid w:val="00345C34"/>
    <w:rsid w:val="00350425"/>
    <w:rsid w:val="0035284D"/>
    <w:rsid w:val="0035494E"/>
    <w:rsid w:val="00355F46"/>
    <w:rsid w:val="00356CF5"/>
    <w:rsid w:val="003611A9"/>
    <w:rsid w:val="00361E33"/>
    <w:rsid w:val="00363C55"/>
    <w:rsid w:val="003645DE"/>
    <w:rsid w:val="00364F48"/>
    <w:rsid w:val="00365690"/>
    <w:rsid w:val="003707AD"/>
    <w:rsid w:val="00371162"/>
    <w:rsid w:val="00375751"/>
    <w:rsid w:val="00376E44"/>
    <w:rsid w:val="00377393"/>
    <w:rsid w:val="00377FA6"/>
    <w:rsid w:val="00381597"/>
    <w:rsid w:val="003818FD"/>
    <w:rsid w:val="00381EBD"/>
    <w:rsid w:val="00382774"/>
    <w:rsid w:val="00384500"/>
    <w:rsid w:val="00384B72"/>
    <w:rsid w:val="003856AA"/>
    <w:rsid w:val="00385A44"/>
    <w:rsid w:val="00386748"/>
    <w:rsid w:val="00386C3D"/>
    <w:rsid w:val="00387366"/>
    <w:rsid w:val="003878B5"/>
    <w:rsid w:val="00387D18"/>
    <w:rsid w:val="0039092E"/>
    <w:rsid w:val="003913DA"/>
    <w:rsid w:val="003918E6"/>
    <w:rsid w:val="003927C4"/>
    <w:rsid w:val="00393323"/>
    <w:rsid w:val="003934E2"/>
    <w:rsid w:val="00395C47"/>
    <w:rsid w:val="003961D7"/>
    <w:rsid w:val="003A01D8"/>
    <w:rsid w:val="003A0CF5"/>
    <w:rsid w:val="003A0FC5"/>
    <w:rsid w:val="003A19FC"/>
    <w:rsid w:val="003A63C3"/>
    <w:rsid w:val="003A66B4"/>
    <w:rsid w:val="003A67D4"/>
    <w:rsid w:val="003A7997"/>
    <w:rsid w:val="003A7AE9"/>
    <w:rsid w:val="003B00DC"/>
    <w:rsid w:val="003B54FF"/>
    <w:rsid w:val="003B5D24"/>
    <w:rsid w:val="003B744E"/>
    <w:rsid w:val="003C4CC7"/>
    <w:rsid w:val="003C7F30"/>
    <w:rsid w:val="003D067A"/>
    <w:rsid w:val="003D1200"/>
    <w:rsid w:val="003D2AE2"/>
    <w:rsid w:val="003D3F20"/>
    <w:rsid w:val="003D4CF3"/>
    <w:rsid w:val="003D5273"/>
    <w:rsid w:val="003D645A"/>
    <w:rsid w:val="003D7B56"/>
    <w:rsid w:val="003E0299"/>
    <w:rsid w:val="003E2105"/>
    <w:rsid w:val="003E4CA9"/>
    <w:rsid w:val="003E6428"/>
    <w:rsid w:val="003E75BF"/>
    <w:rsid w:val="003F193F"/>
    <w:rsid w:val="003F24C8"/>
    <w:rsid w:val="003F47D7"/>
    <w:rsid w:val="003F5377"/>
    <w:rsid w:val="003F628B"/>
    <w:rsid w:val="003F68B8"/>
    <w:rsid w:val="0040049D"/>
    <w:rsid w:val="00401C14"/>
    <w:rsid w:val="00404E42"/>
    <w:rsid w:val="00404E53"/>
    <w:rsid w:val="00406D1F"/>
    <w:rsid w:val="0040711A"/>
    <w:rsid w:val="004134D3"/>
    <w:rsid w:val="00414490"/>
    <w:rsid w:val="00415BD8"/>
    <w:rsid w:val="00417D26"/>
    <w:rsid w:val="00417D5A"/>
    <w:rsid w:val="0043142D"/>
    <w:rsid w:val="004314CF"/>
    <w:rsid w:val="00431590"/>
    <w:rsid w:val="00431636"/>
    <w:rsid w:val="004322B5"/>
    <w:rsid w:val="00432382"/>
    <w:rsid w:val="00432965"/>
    <w:rsid w:val="00433E8D"/>
    <w:rsid w:val="004343C5"/>
    <w:rsid w:val="00443635"/>
    <w:rsid w:val="00443D5E"/>
    <w:rsid w:val="00444F64"/>
    <w:rsid w:val="00445EA9"/>
    <w:rsid w:val="0044796A"/>
    <w:rsid w:val="0045026C"/>
    <w:rsid w:val="00450CFE"/>
    <w:rsid w:val="00452ABF"/>
    <w:rsid w:val="00455938"/>
    <w:rsid w:val="00456AD7"/>
    <w:rsid w:val="004576A5"/>
    <w:rsid w:val="00460338"/>
    <w:rsid w:val="0046436A"/>
    <w:rsid w:val="004663E1"/>
    <w:rsid w:val="004705F4"/>
    <w:rsid w:val="00470C32"/>
    <w:rsid w:val="00470DC0"/>
    <w:rsid w:val="004712EC"/>
    <w:rsid w:val="004716C6"/>
    <w:rsid w:val="0047232E"/>
    <w:rsid w:val="00473AAA"/>
    <w:rsid w:val="00473DE2"/>
    <w:rsid w:val="00474129"/>
    <w:rsid w:val="00474D19"/>
    <w:rsid w:val="00481113"/>
    <w:rsid w:val="00482543"/>
    <w:rsid w:val="004828AA"/>
    <w:rsid w:val="0048359C"/>
    <w:rsid w:val="00484071"/>
    <w:rsid w:val="00487880"/>
    <w:rsid w:val="00487B50"/>
    <w:rsid w:val="00487C79"/>
    <w:rsid w:val="0049183C"/>
    <w:rsid w:val="004922C4"/>
    <w:rsid w:val="0049273B"/>
    <w:rsid w:val="00493DCB"/>
    <w:rsid w:val="004A1F92"/>
    <w:rsid w:val="004A2E9E"/>
    <w:rsid w:val="004A318D"/>
    <w:rsid w:val="004A3FFF"/>
    <w:rsid w:val="004A5203"/>
    <w:rsid w:val="004A5A8B"/>
    <w:rsid w:val="004B1A9B"/>
    <w:rsid w:val="004B1E27"/>
    <w:rsid w:val="004B1F75"/>
    <w:rsid w:val="004B2D6E"/>
    <w:rsid w:val="004B4528"/>
    <w:rsid w:val="004B6852"/>
    <w:rsid w:val="004B688C"/>
    <w:rsid w:val="004B6FAD"/>
    <w:rsid w:val="004C0934"/>
    <w:rsid w:val="004C0A36"/>
    <w:rsid w:val="004C22F0"/>
    <w:rsid w:val="004C4C58"/>
    <w:rsid w:val="004C5A76"/>
    <w:rsid w:val="004C7243"/>
    <w:rsid w:val="004C7A7B"/>
    <w:rsid w:val="004D29B9"/>
    <w:rsid w:val="004D43CF"/>
    <w:rsid w:val="004D76B9"/>
    <w:rsid w:val="004D7977"/>
    <w:rsid w:val="004E28DB"/>
    <w:rsid w:val="004E2C36"/>
    <w:rsid w:val="004E3C46"/>
    <w:rsid w:val="004E4BA8"/>
    <w:rsid w:val="004F0654"/>
    <w:rsid w:val="004F1260"/>
    <w:rsid w:val="004F2407"/>
    <w:rsid w:val="004F7736"/>
    <w:rsid w:val="00502B5B"/>
    <w:rsid w:val="00503ABE"/>
    <w:rsid w:val="005048EE"/>
    <w:rsid w:val="00506783"/>
    <w:rsid w:val="00506AF1"/>
    <w:rsid w:val="0051002F"/>
    <w:rsid w:val="00510616"/>
    <w:rsid w:val="00510A94"/>
    <w:rsid w:val="005121F5"/>
    <w:rsid w:val="005127E6"/>
    <w:rsid w:val="0051341B"/>
    <w:rsid w:val="0051429C"/>
    <w:rsid w:val="0051506E"/>
    <w:rsid w:val="005154FE"/>
    <w:rsid w:val="0051650C"/>
    <w:rsid w:val="00520BF5"/>
    <w:rsid w:val="0052147C"/>
    <w:rsid w:val="00521F39"/>
    <w:rsid w:val="005226B7"/>
    <w:rsid w:val="0052424B"/>
    <w:rsid w:val="00531072"/>
    <w:rsid w:val="005368AA"/>
    <w:rsid w:val="0054085F"/>
    <w:rsid w:val="00541134"/>
    <w:rsid w:val="0054270F"/>
    <w:rsid w:val="0054790B"/>
    <w:rsid w:val="00550C99"/>
    <w:rsid w:val="00552610"/>
    <w:rsid w:val="0055662F"/>
    <w:rsid w:val="005567B3"/>
    <w:rsid w:val="00560273"/>
    <w:rsid w:val="00560BDA"/>
    <w:rsid w:val="00561471"/>
    <w:rsid w:val="005649BD"/>
    <w:rsid w:val="00565DA5"/>
    <w:rsid w:val="0056604E"/>
    <w:rsid w:val="00567E23"/>
    <w:rsid w:val="0057312E"/>
    <w:rsid w:val="0057647B"/>
    <w:rsid w:val="00577763"/>
    <w:rsid w:val="00580081"/>
    <w:rsid w:val="00580FAF"/>
    <w:rsid w:val="00583612"/>
    <w:rsid w:val="00585769"/>
    <w:rsid w:val="00586627"/>
    <w:rsid w:val="00587DCC"/>
    <w:rsid w:val="00590F13"/>
    <w:rsid w:val="0059208B"/>
    <w:rsid w:val="00593811"/>
    <w:rsid w:val="00597AED"/>
    <w:rsid w:val="005A0DFC"/>
    <w:rsid w:val="005A1139"/>
    <w:rsid w:val="005A5752"/>
    <w:rsid w:val="005A6808"/>
    <w:rsid w:val="005A758B"/>
    <w:rsid w:val="005B047E"/>
    <w:rsid w:val="005B18A9"/>
    <w:rsid w:val="005B1F78"/>
    <w:rsid w:val="005B2BFD"/>
    <w:rsid w:val="005B49AE"/>
    <w:rsid w:val="005B4BAD"/>
    <w:rsid w:val="005B7326"/>
    <w:rsid w:val="005C19F8"/>
    <w:rsid w:val="005C1CC5"/>
    <w:rsid w:val="005C24B7"/>
    <w:rsid w:val="005C25A1"/>
    <w:rsid w:val="005C2601"/>
    <w:rsid w:val="005C7C22"/>
    <w:rsid w:val="005D02BB"/>
    <w:rsid w:val="005D2A0E"/>
    <w:rsid w:val="005D2A49"/>
    <w:rsid w:val="005D39A2"/>
    <w:rsid w:val="005D5368"/>
    <w:rsid w:val="005D541A"/>
    <w:rsid w:val="005E02CF"/>
    <w:rsid w:val="005E1468"/>
    <w:rsid w:val="005E3425"/>
    <w:rsid w:val="005E3DFB"/>
    <w:rsid w:val="005F03FB"/>
    <w:rsid w:val="005F066C"/>
    <w:rsid w:val="005F4393"/>
    <w:rsid w:val="005F4E47"/>
    <w:rsid w:val="005F4FEE"/>
    <w:rsid w:val="005F5334"/>
    <w:rsid w:val="005F5AF5"/>
    <w:rsid w:val="005F62DC"/>
    <w:rsid w:val="005F7EC2"/>
    <w:rsid w:val="00600101"/>
    <w:rsid w:val="00600A39"/>
    <w:rsid w:val="00602315"/>
    <w:rsid w:val="00602D1F"/>
    <w:rsid w:val="00605EC2"/>
    <w:rsid w:val="006103EE"/>
    <w:rsid w:val="006103F6"/>
    <w:rsid w:val="0061405E"/>
    <w:rsid w:val="00614E54"/>
    <w:rsid w:val="00615406"/>
    <w:rsid w:val="006161C5"/>
    <w:rsid w:val="0062582D"/>
    <w:rsid w:val="00627121"/>
    <w:rsid w:val="006279EC"/>
    <w:rsid w:val="00631A72"/>
    <w:rsid w:val="0063555E"/>
    <w:rsid w:val="00635FDF"/>
    <w:rsid w:val="00637761"/>
    <w:rsid w:val="00642224"/>
    <w:rsid w:val="00642C67"/>
    <w:rsid w:val="006444FD"/>
    <w:rsid w:val="00645D8B"/>
    <w:rsid w:val="00646384"/>
    <w:rsid w:val="00650123"/>
    <w:rsid w:val="006517F2"/>
    <w:rsid w:val="006525FB"/>
    <w:rsid w:val="0065343B"/>
    <w:rsid w:val="00653AEE"/>
    <w:rsid w:val="00654EF1"/>
    <w:rsid w:val="006558CF"/>
    <w:rsid w:val="006559EE"/>
    <w:rsid w:val="00665B69"/>
    <w:rsid w:val="0066609C"/>
    <w:rsid w:val="00666F05"/>
    <w:rsid w:val="0067146C"/>
    <w:rsid w:val="00671757"/>
    <w:rsid w:val="00672B19"/>
    <w:rsid w:val="006738A8"/>
    <w:rsid w:val="0067584A"/>
    <w:rsid w:val="006824A1"/>
    <w:rsid w:val="00683868"/>
    <w:rsid w:val="006857A1"/>
    <w:rsid w:val="0068657D"/>
    <w:rsid w:val="0068729F"/>
    <w:rsid w:val="00692DB8"/>
    <w:rsid w:val="00693795"/>
    <w:rsid w:val="006939C6"/>
    <w:rsid w:val="00695AE7"/>
    <w:rsid w:val="006A00D4"/>
    <w:rsid w:val="006A1AF4"/>
    <w:rsid w:val="006A3363"/>
    <w:rsid w:val="006A5059"/>
    <w:rsid w:val="006B1CC1"/>
    <w:rsid w:val="006B3897"/>
    <w:rsid w:val="006B72DD"/>
    <w:rsid w:val="006B756A"/>
    <w:rsid w:val="006B7588"/>
    <w:rsid w:val="006C011F"/>
    <w:rsid w:val="006C02B9"/>
    <w:rsid w:val="006C1420"/>
    <w:rsid w:val="006C274F"/>
    <w:rsid w:val="006C369B"/>
    <w:rsid w:val="006C4D27"/>
    <w:rsid w:val="006C5C60"/>
    <w:rsid w:val="006C649A"/>
    <w:rsid w:val="006C6DE7"/>
    <w:rsid w:val="006D196F"/>
    <w:rsid w:val="006D28AD"/>
    <w:rsid w:val="006D2DDF"/>
    <w:rsid w:val="006D454F"/>
    <w:rsid w:val="006D50AC"/>
    <w:rsid w:val="006E128F"/>
    <w:rsid w:val="006E39F9"/>
    <w:rsid w:val="006E3EBB"/>
    <w:rsid w:val="006E5EAE"/>
    <w:rsid w:val="006E67FA"/>
    <w:rsid w:val="006E7B3B"/>
    <w:rsid w:val="006F7A3E"/>
    <w:rsid w:val="007025F6"/>
    <w:rsid w:val="00702800"/>
    <w:rsid w:val="00703D15"/>
    <w:rsid w:val="007042C3"/>
    <w:rsid w:val="00704B32"/>
    <w:rsid w:val="00705288"/>
    <w:rsid w:val="007067CE"/>
    <w:rsid w:val="00707572"/>
    <w:rsid w:val="007111AE"/>
    <w:rsid w:val="0071161B"/>
    <w:rsid w:val="00711E36"/>
    <w:rsid w:val="00713FAE"/>
    <w:rsid w:val="007155C0"/>
    <w:rsid w:val="007170A2"/>
    <w:rsid w:val="00722FF3"/>
    <w:rsid w:val="00723BF8"/>
    <w:rsid w:val="007259F8"/>
    <w:rsid w:val="00731C26"/>
    <w:rsid w:val="007323FF"/>
    <w:rsid w:val="00734516"/>
    <w:rsid w:val="00734774"/>
    <w:rsid w:val="007347ED"/>
    <w:rsid w:val="00736DE9"/>
    <w:rsid w:val="00741147"/>
    <w:rsid w:val="0074160A"/>
    <w:rsid w:val="0074294B"/>
    <w:rsid w:val="00743FBD"/>
    <w:rsid w:val="00752E8F"/>
    <w:rsid w:val="00757961"/>
    <w:rsid w:val="00760A27"/>
    <w:rsid w:val="00761E57"/>
    <w:rsid w:val="00764184"/>
    <w:rsid w:val="00764D47"/>
    <w:rsid w:val="00767405"/>
    <w:rsid w:val="00770508"/>
    <w:rsid w:val="00770ACC"/>
    <w:rsid w:val="00771B27"/>
    <w:rsid w:val="00773F58"/>
    <w:rsid w:val="007745C3"/>
    <w:rsid w:val="00777536"/>
    <w:rsid w:val="00781188"/>
    <w:rsid w:val="00781991"/>
    <w:rsid w:val="007846EF"/>
    <w:rsid w:val="00784BB0"/>
    <w:rsid w:val="00786E2E"/>
    <w:rsid w:val="00787829"/>
    <w:rsid w:val="007878C7"/>
    <w:rsid w:val="00790938"/>
    <w:rsid w:val="00791074"/>
    <w:rsid w:val="007944B1"/>
    <w:rsid w:val="00794753"/>
    <w:rsid w:val="00796FE7"/>
    <w:rsid w:val="007973E3"/>
    <w:rsid w:val="007A0D6E"/>
    <w:rsid w:val="007A110B"/>
    <w:rsid w:val="007A1D32"/>
    <w:rsid w:val="007A5319"/>
    <w:rsid w:val="007A5544"/>
    <w:rsid w:val="007A6F54"/>
    <w:rsid w:val="007B2842"/>
    <w:rsid w:val="007B3124"/>
    <w:rsid w:val="007B44C5"/>
    <w:rsid w:val="007B4D87"/>
    <w:rsid w:val="007B610A"/>
    <w:rsid w:val="007B6B38"/>
    <w:rsid w:val="007B76F5"/>
    <w:rsid w:val="007C18A9"/>
    <w:rsid w:val="007C1FF1"/>
    <w:rsid w:val="007C2933"/>
    <w:rsid w:val="007C3D0B"/>
    <w:rsid w:val="007C5036"/>
    <w:rsid w:val="007C5360"/>
    <w:rsid w:val="007C5F92"/>
    <w:rsid w:val="007C5FF6"/>
    <w:rsid w:val="007D1946"/>
    <w:rsid w:val="007D1B61"/>
    <w:rsid w:val="007D1FAF"/>
    <w:rsid w:val="007D46BD"/>
    <w:rsid w:val="007D7BA9"/>
    <w:rsid w:val="007D7F58"/>
    <w:rsid w:val="007E117E"/>
    <w:rsid w:val="007E1578"/>
    <w:rsid w:val="007E18F8"/>
    <w:rsid w:val="007E49B5"/>
    <w:rsid w:val="007E755D"/>
    <w:rsid w:val="007F1709"/>
    <w:rsid w:val="007F1789"/>
    <w:rsid w:val="007F1B5D"/>
    <w:rsid w:val="007F3147"/>
    <w:rsid w:val="007F73B7"/>
    <w:rsid w:val="007F7645"/>
    <w:rsid w:val="0080059F"/>
    <w:rsid w:val="00801357"/>
    <w:rsid w:val="008019C9"/>
    <w:rsid w:val="0080224C"/>
    <w:rsid w:val="00802E2D"/>
    <w:rsid w:val="00802E7A"/>
    <w:rsid w:val="008032D2"/>
    <w:rsid w:val="00804CE6"/>
    <w:rsid w:val="008053F1"/>
    <w:rsid w:val="00811060"/>
    <w:rsid w:val="00811488"/>
    <w:rsid w:val="0081373F"/>
    <w:rsid w:val="00816395"/>
    <w:rsid w:val="00816430"/>
    <w:rsid w:val="008169AF"/>
    <w:rsid w:val="00820AF3"/>
    <w:rsid w:val="0082283F"/>
    <w:rsid w:val="00822D9A"/>
    <w:rsid w:val="008248E0"/>
    <w:rsid w:val="0082687D"/>
    <w:rsid w:val="00830360"/>
    <w:rsid w:val="008307DB"/>
    <w:rsid w:val="00830A63"/>
    <w:rsid w:val="00831260"/>
    <w:rsid w:val="008324C3"/>
    <w:rsid w:val="00834A88"/>
    <w:rsid w:val="00834ADC"/>
    <w:rsid w:val="008364B3"/>
    <w:rsid w:val="008413DC"/>
    <w:rsid w:val="00841547"/>
    <w:rsid w:val="00841748"/>
    <w:rsid w:val="008419B2"/>
    <w:rsid w:val="00841ECD"/>
    <w:rsid w:val="00842CE8"/>
    <w:rsid w:val="008458A8"/>
    <w:rsid w:val="00850587"/>
    <w:rsid w:val="00851483"/>
    <w:rsid w:val="008522E5"/>
    <w:rsid w:val="00852E67"/>
    <w:rsid w:val="00853451"/>
    <w:rsid w:val="008546AF"/>
    <w:rsid w:val="0086093E"/>
    <w:rsid w:val="00861E5F"/>
    <w:rsid w:val="008624AA"/>
    <w:rsid w:val="00873AC2"/>
    <w:rsid w:val="00874931"/>
    <w:rsid w:val="00875CEB"/>
    <w:rsid w:val="00876F7C"/>
    <w:rsid w:val="00881778"/>
    <w:rsid w:val="00885586"/>
    <w:rsid w:val="00886BE3"/>
    <w:rsid w:val="00887056"/>
    <w:rsid w:val="008873E2"/>
    <w:rsid w:val="00895868"/>
    <w:rsid w:val="00895A0E"/>
    <w:rsid w:val="008967B8"/>
    <w:rsid w:val="008A0309"/>
    <w:rsid w:val="008A1E3B"/>
    <w:rsid w:val="008A1F52"/>
    <w:rsid w:val="008A26C2"/>
    <w:rsid w:val="008A55DA"/>
    <w:rsid w:val="008A6250"/>
    <w:rsid w:val="008B05C9"/>
    <w:rsid w:val="008B05CB"/>
    <w:rsid w:val="008B2C14"/>
    <w:rsid w:val="008B6717"/>
    <w:rsid w:val="008C04BC"/>
    <w:rsid w:val="008C4B80"/>
    <w:rsid w:val="008C7D2B"/>
    <w:rsid w:val="008C7E7A"/>
    <w:rsid w:val="008D0378"/>
    <w:rsid w:val="008D078E"/>
    <w:rsid w:val="008D0DEE"/>
    <w:rsid w:val="008D1AEF"/>
    <w:rsid w:val="008D47F0"/>
    <w:rsid w:val="008D488A"/>
    <w:rsid w:val="008D56DA"/>
    <w:rsid w:val="008D6CC7"/>
    <w:rsid w:val="008D71B5"/>
    <w:rsid w:val="008E15B9"/>
    <w:rsid w:val="008F2B22"/>
    <w:rsid w:val="00901D2A"/>
    <w:rsid w:val="009028E5"/>
    <w:rsid w:val="00903E29"/>
    <w:rsid w:val="00904876"/>
    <w:rsid w:val="00905420"/>
    <w:rsid w:val="00912789"/>
    <w:rsid w:val="00912DA9"/>
    <w:rsid w:val="009132DD"/>
    <w:rsid w:val="00916F50"/>
    <w:rsid w:val="009205C4"/>
    <w:rsid w:val="009232BB"/>
    <w:rsid w:val="00925AEA"/>
    <w:rsid w:val="00931452"/>
    <w:rsid w:val="0093156A"/>
    <w:rsid w:val="009317D8"/>
    <w:rsid w:val="0093241A"/>
    <w:rsid w:val="009327FC"/>
    <w:rsid w:val="00935D4D"/>
    <w:rsid w:val="009416EA"/>
    <w:rsid w:val="00941D29"/>
    <w:rsid w:val="00954934"/>
    <w:rsid w:val="00955244"/>
    <w:rsid w:val="0095757C"/>
    <w:rsid w:val="0095786D"/>
    <w:rsid w:val="00957928"/>
    <w:rsid w:val="00962C56"/>
    <w:rsid w:val="00962D01"/>
    <w:rsid w:val="00963377"/>
    <w:rsid w:val="00964474"/>
    <w:rsid w:val="00965000"/>
    <w:rsid w:val="009650E3"/>
    <w:rsid w:val="00966F04"/>
    <w:rsid w:val="009706E4"/>
    <w:rsid w:val="00973572"/>
    <w:rsid w:val="0097565A"/>
    <w:rsid w:val="0097632B"/>
    <w:rsid w:val="009765FE"/>
    <w:rsid w:val="009839A6"/>
    <w:rsid w:val="00985640"/>
    <w:rsid w:val="00987306"/>
    <w:rsid w:val="00990578"/>
    <w:rsid w:val="00990DB3"/>
    <w:rsid w:val="00991504"/>
    <w:rsid w:val="009915CA"/>
    <w:rsid w:val="0099274F"/>
    <w:rsid w:val="0099469B"/>
    <w:rsid w:val="009A2828"/>
    <w:rsid w:val="009A3910"/>
    <w:rsid w:val="009A55C6"/>
    <w:rsid w:val="009A569F"/>
    <w:rsid w:val="009A5A03"/>
    <w:rsid w:val="009A5CF2"/>
    <w:rsid w:val="009A5F4B"/>
    <w:rsid w:val="009A60CB"/>
    <w:rsid w:val="009B30AF"/>
    <w:rsid w:val="009B448D"/>
    <w:rsid w:val="009B5EEC"/>
    <w:rsid w:val="009C1F2C"/>
    <w:rsid w:val="009C3F12"/>
    <w:rsid w:val="009C49DB"/>
    <w:rsid w:val="009C4BA1"/>
    <w:rsid w:val="009C7C63"/>
    <w:rsid w:val="009D0D4A"/>
    <w:rsid w:val="009D2F75"/>
    <w:rsid w:val="009D3E34"/>
    <w:rsid w:val="009D543C"/>
    <w:rsid w:val="009D5B94"/>
    <w:rsid w:val="009D5D74"/>
    <w:rsid w:val="009D6FB6"/>
    <w:rsid w:val="009D7FBD"/>
    <w:rsid w:val="009E2BF6"/>
    <w:rsid w:val="009E2D52"/>
    <w:rsid w:val="009E5504"/>
    <w:rsid w:val="009E5EBB"/>
    <w:rsid w:val="009E5F12"/>
    <w:rsid w:val="009E6D96"/>
    <w:rsid w:val="009E7BE3"/>
    <w:rsid w:val="009E7E1C"/>
    <w:rsid w:val="009E7EA0"/>
    <w:rsid w:val="009F02F9"/>
    <w:rsid w:val="009F1835"/>
    <w:rsid w:val="009F442F"/>
    <w:rsid w:val="009F4CFA"/>
    <w:rsid w:val="009F6782"/>
    <w:rsid w:val="009F6A5B"/>
    <w:rsid w:val="009F7468"/>
    <w:rsid w:val="00A00F60"/>
    <w:rsid w:val="00A017BE"/>
    <w:rsid w:val="00A028F6"/>
    <w:rsid w:val="00A06851"/>
    <w:rsid w:val="00A12A19"/>
    <w:rsid w:val="00A14779"/>
    <w:rsid w:val="00A15812"/>
    <w:rsid w:val="00A176B6"/>
    <w:rsid w:val="00A22A48"/>
    <w:rsid w:val="00A237C6"/>
    <w:rsid w:val="00A31941"/>
    <w:rsid w:val="00A31C88"/>
    <w:rsid w:val="00A3433D"/>
    <w:rsid w:val="00A3773C"/>
    <w:rsid w:val="00A413B9"/>
    <w:rsid w:val="00A41961"/>
    <w:rsid w:val="00A4415F"/>
    <w:rsid w:val="00A44227"/>
    <w:rsid w:val="00A45B57"/>
    <w:rsid w:val="00A473A6"/>
    <w:rsid w:val="00A5134C"/>
    <w:rsid w:val="00A5284F"/>
    <w:rsid w:val="00A53726"/>
    <w:rsid w:val="00A55389"/>
    <w:rsid w:val="00A605FB"/>
    <w:rsid w:val="00A617D8"/>
    <w:rsid w:val="00A62C6F"/>
    <w:rsid w:val="00A631A0"/>
    <w:rsid w:val="00A678F2"/>
    <w:rsid w:val="00A70B23"/>
    <w:rsid w:val="00A7417D"/>
    <w:rsid w:val="00A745BE"/>
    <w:rsid w:val="00A75FA5"/>
    <w:rsid w:val="00A76A00"/>
    <w:rsid w:val="00A81342"/>
    <w:rsid w:val="00A8241C"/>
    <w:rsid w:val="00A83E8D"/>
    <w:rsid w:val="00A84637"/>
    <w:rsid w:val="00A84B57"/>
    <w:rsid w:val="00A84E78"/>
    <w:rsid w:val="00A84EE9"/>
    <w:rsid w:val="00A85119"/>
    <w:rsid w:val="00A868D5"/>
    <w:rsid w:val="00A919B2"/>
    <w:rsid w:val="00A9452C"/>
    <w:rsid w:val="00A94E96"/>
    <w:rsid w:val="00A96AF9"/>
    <w:rsid w:val="00A97214"/>
    <w:rsid w:val="00A9727B"/>
    <w:rsid w:val="00AA03D0"/>
    <w:rsid w:val="00AA0F01"/>
    <w:rsid w:val="00AA1476"/>
    <w:rsid w:val="00AA15A2"/>
    <w:rsid w:val="00AA1B62"/>
    <w:rsid w:val="00AA2A44"/>
    <w:rsid w:val="00AA5596"/>
    <w:rsid w:val="00AB00DA"/>
    <w:rsid w:val="00AB0780"/>
    <w:rsid w:val="00AB1610"/>
    <w:rsid w:val="00AB1F40"/>
    <w:rsid w:val="00AB3CF9"/>
    <w:rsid w:val="00AB5601"/>
    <w:rsid w:val="00AB69DE"/>
    <w:rsid w:val="00AB6C41"/>
    <w:rsid w:val="00AB757C"/>
    <w:rsid w:val="00AB7DAB"/>
    <w:rsid w:val="00AC1077"/>
    <w:rsid w:val="00AC156C"/>
    <w:rsid w:val="00AC4387"/>
    <w:rsid w:val="00AC517D"/>
    <w:rsid w:val="00AC5566"/>
    <w:rsid w:val="00AD16C6"/>
    <w:rsid w:val="00AD2D0D"/>
    <w:rsid w:val="00AD4AD7"/>
    <w:rsid w:val="00AD4B81"/>
    <w:rsid w:val="00AD5936"/>
    <w:rsid w:val="00AD706F"/>
    <w:rsid w:val="00AE248D"/>
    <w:rsid w:val="00AE3F43"/>
    <w:rsid w:val="00AE7599"/>
    <w:rsid w:val="00AF0BE9"/>
    <w:rsid w:val="00AF4185"/>
    <w:rsid w:val="00B014ED"/>
    <w:rsid w:val="00B016F5"/>
    <w:rsid w:val="00B029C3"/>
    <w:rsid w:val="00B03A13"/>
    <w:rsid w:val="00B06EE0"/>
    <w:rsid w:val="00B0709C"/>
    <w:rsid w:val="00B07A85"/>
    <w:rsid w:val="00B10426"/>
    <w:rsid w:val="00B1097A"/>
    <w:rsid w:val="00B11524"/>
    <w:rsid w:val="00B124A0"/>
    <w:rsid w:val="00B15D0C"/>
    <w:rsid w:val="00B177B0"/>
    <w:rsid w:val="00B179B2"/>
    <w:rsid w:val="00B21CC2"/>
    <w:rsid w:val="00B220CD"/>
    <w:rsid w:val="00B23D32"/>
    <w:rsid w:val="00B2400A"/>
    <w:rsid w:val="00B243A0"/>
    <w:rsid w:val="00B2499A"/>
    <w:rsid w:val="00B27766"/>
    <w:rsid w:val="00B32135"/>
    <w:rsid w:val="00B33758"/>
    <w:rsid w:val="00B34FEE"/>
    <w:rsid w:val="00B36B07"/>
    <w:rsid w:val="00B36FC0"/>
    <w:rsid w:val="00B37770"/>
    <w:rsid w:val="00B40D5B"/>
    <w:rsid w:val="00B430A6"/>
    <w:rsid w:val="00B445ED"/>
    <w:rsid w:val="00B44606"/>
    <w:rsid w:val="00B447F6"/>
    <w:rsid w:val="00B458B4"/>
    <w:rsid w:val="00B4629A"/>
    <w:rsid w:val="00B46A26"/>
    <w:rsid w:val="00B478AD"/>
    <w:rsid w:val="00B47CE8"/>
    <w:rsid w:val="00B47D4C"/>
    <w:rsid w:val="00B513E5"/>
    <w:rsid w:val="00B539A0"/>
    <w:rsid w:val="00B56D88"/>
    <w:rsid w:val="00B56DC6"/>
    <w:rsid w:val="00B57695"/>
    <w:rsid w:val="00B57F7D"/>
    <w:rsid w:val="00B61579"/>
    <w:rsid w:val="00B623FD"/>
    <w:rsid w:val="00B62A00"/>
    <w:rsid w:val="00B65644"/>
    <w:rsid w:val="00B66931"/>
    <w:rsid w:val="00B66E3D"/>
    <w:rsid w:val="00B704FE"/>
    <w:rsid w:val="00B70E9E"/>
    <w:rsid w:val="00B71B5E"/>
    <w:rsid w:val="00B75B78"/>
    <w:rsid w:val="00B7778E"/>
    <w:rsid w:val="00B81EA9"/>
    <w:rsid w:val="00B837B2"/>
    <w:rsid w:val="00B84AE3"/>
    <w:rsid w:val="00B85B9D"/>
    <w:rsid w:val="00B86082"/>
    <w:rsid w:val="00B8639E"/>
    <w:rsid w:val="00B86FAD"/>
    <w:rsid w:val="00B8795E"/>
    <w:rsid w:val="00B87D8E"/>
    <w:rsid w:val="00B93FB4"/>
    <w:rsid w:val="00B94767"/>
    <w:rsid w:val="00B97F86"/>
    <w:rsid w:val="00BA21A8"/>
    <w:rsid w:val="00BA616A"/>
    <w:rsid w:val="00BB2793"/>
    <w:rsid w:val="00BB3EEA"/>
    <w:rsid w:val="00BB57A1"/>
    <w:rsid w:val="00BC2251"/>
    <w:rsid w:val="00BC3810"/>
    <w:rsid w:val="00BC4C51"/>
    <w:rsid w:val="00BC5095"/>
    <w:rsid w:val="00BC51DF"/>
    <w:rsid w:val="00BC76B9"/>
    <w:rsid w:val="00BD01AE"/>
    <w:rsid w:val="00BD3B55"/>
    <w:rsid w:val="00BD4BCA"/>
    <w:rsid w:val="00BD522E"/>
    <w:rsid w:val="00BD7C7C"/>
    <w:rsid w:val="00BD7CD6"/>
    <w:rsid w:val="00BE3A8F"/>
    <w:rsid w:val="00BE5F2F"/>
    <w:rsid w:val="00BE75AB"/>
    <w:rsid w:val="00BF3135"/>
    <w:rsid w:val="00BF34A2"/>
    <w:rsid w:val="00BF3B21"/>
    <w:rsid w:val="00BF4B3E"/>
    <w:rsid w:val="00BF54D9"/>
    <w:rsid w:val="00C01278"/>
    <w:rsid w:val="00C0252E"/>
    <w:rsid w:val="00C025ED"/>
    <w:rsid w:val="00C03594"/>
    <w:rsid w:val="00C06103"/>
    <w:rsid w:val="00C12378"/>
    <w:rsid w:val="00C12B9B"/>
    <w:rsid w:val="00C14562"/>
    <w:rsid w:val="00C14EF8"/>
    <w:rsid w:val="00C153C2"/>
    <w:rsid w:val="00C178D9"/>
    <w:rsid w:val="00C22A37"/>
    <w:rsid w:val="00C24EBC"/>
    <w:rsid w:val="00C2634D"/>
    <w:rsid w:val="00C275EA"/>
    <w:rsid w:val="00C319E5"/>
    <w:rsid w:val="00C3322D"/>
    <w:rsid w:val="00C37F78"/>
    <w:rsid w:val="00C408B0"/>
    <w:rsid w:val="00C46F0B"/>
    <w:rsid w:val="00C51890"/>
    <w:rsid w:val="00C525F5"/>
    <w:rsid w:val="00C54C6F"/>
    <w:rsid w:val="00C63479"/>
    <w:rsid w:val="00C64302"/>
    <w:rsid w:val="00C654F8"/>
    <w:rsid w:val="00C6765D"/>
    <w:rsid w:val="00C67B08"/>
    <w:rsid w:val="00C67B35"/>
    <w:rsid w:val="00C70122"/>
    <w:rsid w:val="00C727C0"/>
    <w:rsid w:val="00C73510"/>
    <w:rsid w:val="00C74240"/>
    <w:rsid w:val="00C753C7"/>
    <w:rsid w:val="00C8132C"/>
    <w:rsid w:val="00C816ED"/>
    <w:rsid w:val="00C83B6C"/>
    <w:rsid w:val="00C85E3B"/>
    <w:rsid w:val="00C908DC"/>
    <w:rsid w:val="00C9326F"/>
    <w:rsid w:val="00C938AC"/>
    <w:rsid w:val="00CA22AC"/>
    <w:rsid w:val="00CA5B7E"/>
    <w:rsid w:val="00CA6C71"/>
    <w:rsid w:val="00CA7400"/>
    <w:rsid w:val="00CB2C6E"/>
    <w:rsid w:val="00CB2DCD"/>
    <w:rsid w:val="00CB30CA"/>
    <w:rsid w:val="00CB3447"/>
    <w:rsid w:val="00CB4163"/>
    <w:rsid w:val="00CB452F"/>
    <w:rsid w:val="00CB46FF"/>
    <w:rsid w:val="00CB501A"/>
    <w:rsid w:val="00CB5946"/>
    <w:rsid w:val="00CB5A7C"/>
    <w:rsid w:val="00CB606F"/>
    <w:rsid w:val="00CC28B0"/>
    <w:rsid w:val="00CC3884"/>
    <w:rsid w:val="00CC50C9"/>
    <w:rsid w:val="00CC5CEC"/>
    <w:rsid w:val="00CC65BB"/>
    <w:rsid w:val="00CD177F"/>
    <w:rsid w:val="00CD3202"/>
    <w:rsid w:val="00CD400E"/>
    <w:rsid w:val="00CD46B1"/>
    <w:rsid w:val="00CD6A00"/>
    <w:rsid w:val="00CD6FB3"/>
    <w:rsid w:val="00CD772C"/>
    <w:rsid w:val="00CF0B90"/>
    <w:rsid w:val="00CF0ECD"/>
    <w:rsid w:val="00CF5645"/>
    <w:rsid w:val="00D005C7"/>
    <w:rsid w:val="00D11109"/>
    <w:rsid w:val="00D13EAA"/>
    <w:rsid w:val="00D14383"/>
    <w:rsid w:val="00D17687"/>
    <w:rsid w:val="00D2054E"/>
    <w:rsid w:val="00D2189D"/>
    <w:rsid w:val="00D21C61"/>
    <w:rsid w:val="00D22CF3"/>
    <w:rsid w:val="00D24313"/>
    <w:rsid w:val="00D26F2A"/>
    <w:rsid w:val="00D272EC"/>
    <w:rsid w:val="00D27D2A"/>
    <w:rsid w:val="00D32781"/>
    <w:rsid w:val="00D32EF7"/>
    <w:rsid w:val="00D34452"/>
    <w:rsid w:val="00D34584"/>
    <w:rsid w:val="00D359EF"/>
    <w:rsid w:val="00D35DC4"/>
    <w:rsid w:val="00D35F97"/>
    <w:rsid w:val="00D42253"/>
    <w:rsid w:val="00D43A11"/>
    <w:rsid w:val="00D45B4C"/>
    <w:rsid w:val="00D46D69"/>
    <w:rsid w:val="00D47637"/>
    <w:rsid w:val="00D50778"/>
    <w:rsid w:val="00D543A1"/>
    <w:rsid w:val="00D55411"/>
    <w:rsid w:val="00D56509"/>
    <w:rsid w:val="00D56AEC"/>
    <w:rsid w:val="00D574A7"/>
    <w:rsid w:val="00D61977"/>
    <w:rsid w:val="00D634D8"/>
    <w:rsid w:val="00D6529A"/>
    <w:rsid w:val="00D6589C"/>
    <w:rsid w:val="00D66C26"/>
    <w:rsid w:val="00D73822"/>
    <w:rsid w:val="00D77F2C"/>
    <w:rsid w:val="00D80E2C"/>
    <w:rsid w:val="00D85D5D"/>
    <w:rsid w:val="00D86293"/>
    <w:rsid w:val="00D91BF5"/>
    <w:rsid w:val="00D95F82"/>
    <w:rsid w:val="00D96737"/>
    <w:rsid w:val="00D9714F"/>
    <w:rsid w:val="00D9722D"/>
    <w:rsid w:val="00DA0974"/>
    <w:rsid w:val="00DA66F1"/>
    <w:rsid w:val="00DB3131"/>
    <w:rsid w:val="00DB3465"/>
    <w:rsid w:val="00DB62CE"/>
    <w:rsid w:val="00DB6593"/>
    <w:rsid w:val="00DC06F0"/>
    <w:rsid w:val="00DC1F7B"/>
    <w:rsid w:val="00DC3935"/>
    <w:rsid w:val="00DC3C01"/>
    <w:rsid w:val="00DC3C15"/>
    <w:rsid w:val="00DC7679"/>
    <w:rsid w:val="00DD2589"/>
    <w:rsid w:val="00DD688C"/>
    <w:rsid w:val="00DD6BB5"/>
    <w:rsid w:val="00DD7ACB"/>
    <w:rsid w:val="00DE0073"/>
    <w:rsid w:val="00DE081D"/>
    <w:rsid w:val="00DE201F"/>
    <w:rsid w:val="00DE3652"/>
    <w:rsid w:val="00DE50F5"/>
    <w:rsid w:val="00DF12A2"/>
    <w:rsid w:val="00DF1E8E"/>
    <w:rsid w:val="00DF23B1"/>
    <w:rsid w:val="00DF5148"/>
    <w:rsid w:val="00DF6614"/>
    <w:rsid w:val="00DF7755"/>
    <w:rsid w:val="00E0001C"/>
    <w:rsid w:val="00E0148F"/>
    <w:rsid w:val="00E024FE"/>
    <w:rsid w:val="00E02C11"/>
    <w:rsid w:val="00E02E1D"/>
    <w:rsid w:val="00E030A1"/>
    <w:rsid w:val="00E0508C"/>
    <w:rsid w:val="00E052B8"/>
    <w:rsid w:val="00E11CDA"/>
    <w:rsid w:val="00E1320C"/>
    <w:rsid w:val="00E14DF9"/>
    <w:rsid w:val="00E16B04"/>
    <w:rsid w:val="00E16B4C"/>
    <w:rsid w:val="00E20263"/>
    <w:rsid w:val="00E20FB9"/>
    <w:rsid w:val="00E210AC"/>
    <w:rsid w:val="00E213EF"/>
    <w:rsid w:val="00E2238E"/>
    <w:rsid w:val="00E225B6"/>
    <w:rsid w:val="00E23946"/>
    <w:rsid w:val="00E26004"/>
    <w:rsid w:val="00E2611B"/>
    <w:rsid w:val="00E2645C"/>
    <w:rsid w:val="00E32670"/>
    <w:rsid w:val="00E351B3"/>
    <w:rsid w:val="00E35E70"/>
    <w:rsid w:val="00E427C4"/>
    <w:rsid w:val="00E51253"/>
    <w:rsid w:val="00E52798"/>
    <w:rsid w:val="00E56D69"/>
    <w:rsid w:val="00E62849"/>
    <w:rsid w:val="00E6634A"/>
    <w:rsid w:val="00E700D4"/>
    <w:rsid w:val="00E706BB"/>
    <w:rsid w:val="00E71381"/>
    <w:rsid w:val="00E71668"/>
    <w:rsid w:val="00E74C80"/>
    <w:rsid w:val="00E77755"/>
    <w:rsid w:val="00E829A2"/>
    <w:rsid w:val="00E83C80"/>
    <w:rsid w:val="00E8636D"/>
    <w:rsid w:val="00E87B0E"/>
    <w:rsid w:val="00E910D4"/>
    <w:rsid w:val="00E917FC"/>
    <w:rsid w:val="00E946C8"/>
    <w:rsid w:val="00E953B8"/>
    <w:rsid w:val="00E955AD"/>
    <w:rsid w:val="00E95B9F"/>
    <w:rsid w:val="00EA2C29"/>
    <w:rsid w:val="00EA38D9"/>
    <w:rsid w:val="00EA53EF"/>
    <w:rsid w:val="00EA76FB"/>
    <w:rsid w:val="00EB1B11"/>
    <w:rsid w:val="00EB2B41"/>
    <w:rsid w:val="00EB3134"/>
    <w:rsid w:val="00EB3257"/>
    <w:rsid w:val="00EB340A"/>
    <w:rsid w:val="00EB43F3"/>
    <w:rsid w:val="00EB4FA6"/>
    <w:rsid w:val="00EB5637"/>
    <w:rsid w:val="00EB6AA3"/>
    <w:rsid w:val="00EB7061"/>
    <w:rsid w:val="00EC2182"/>
    <w:rsid w:val="00EC411E"/>
    <w:rsid w:val="00ED0ABF"/>
    <w:rsid w:val="00ED13CE"/>
    <w:rsid w:val="00ED513B"/>
    <w:rsid w:val="00ED5B21"/>
    <w:rsid w:val="00ED5BC3"/>
    <w:rsid w:val="00ED6F71"/>
    <w:rsid w:val="00EE001B"/>
    <w:rsid w:val="00EE1347"/>
    <w:rsid w:val="00EE3A48"/>
    <w:rsid w:val="00EF157C"/>
    <w:rsid w:val="00EF64B7"/>
    <w:rsid w:val="00F01CE1"/>
    <w:rsid w:val="00F02BA2"/>
    <w:rsid w:val="00F0344A"/>
    <w:rsid w:val="00F04F7C"/>
    <w:rsid w:val="00F0682C"/>
    <w:rsid w:val="00F07EBE"/>
    <w:rsid w:val="00F10AA0"/>
    <w:rsid w:val="00F12F6C"/>
    <w:rsid w:val="00F21AB8"/>
    <w:rsid w:val="00F21DE9"/>
    <w:rsid w:val="00F22287"/>
    <w:rsid w:val="00F22754"/>
    <w:rsid w:val="00F24BA2"/>
    <w:rsid w:val="00F2742E"/>
    <w:rsid w:val="00F30809"/>
    <w:rsid w:val="00F30D5A"/>
    <w:rsid w:val="00F316EF"/>
    <w:rsid w:val="00F316FC"/>
    <w:rsid w:val="00F3218C"/>
    <w:rsid w:val="00F32B6E"/>
    <w:rsid w:val="00F3403B"/>
    <w:rsid w:val="00F35AE7"/>
    <w:rsid w:val="00F369FE"/>
    <w:rsid w:val="00F37125"/>
    <w:rsid w:val="00F377F0"/>
    <w:rsid w:val="00F3785A"/>
    <w:rsid w:val="00F41848"/>
    <w:rsid w:val="00F42899"/>
    <w:rsid w:val="00F44C0B"/>
    <w:rsid w:val="00F45C59"/>
    <w:rsid w:val="00F47AE1"/>
    <w:rsid w:val="00F51EB3"/>
    <w:rsid w:val="00F529D5"/>
    <w:rsid w:val="00F533D5"/>
    <w:rsid w:val="00F54273"/>
    <w:rsid w:val="00F560F8"/>
    <w:rsid w:val="00F561DB"/>
    <w:rsid w:val="00F562F4"/>
    <w:rsid w:val="00F60304"/>
    <w:rsid w:val="00F63E0D"/>
    <w:rsid w:val="00F65832"/>
    <w:rsid w:val="00F65AA0"/>
    <w:rsid w:val="00F66CE3"/>
    <w:rsid w:val="00F725DD"/>
    <w:rsid w:val="00F747A1"/>
    <w:rsid w:val="00F749A5"/>
    <w:rsid w:val="00F804C7"/>
    <w:rsid w:val="00F81CFD"/>
    <w:rsid w:val="00F8475B"/>
    <w:rsid w:val="00F908DE"/>
    <w:rsid w:val="00F90AC1"/>
    <w:rsid w:val="00F93AC9"/>
    <w:rsid w:val="00F94E72"/>
    <w:rsid w:val="00F96DFB"/>
    <w:rsid w:val="00F970D1"/>
    <w:rsid w:val="00FA01E0"/>
    <w:rsid w:val="00FA4D8E"/>
    <w:rsid w:val="00FA5284"/>
    <w:rsid w:val="00FA58DB"/>
    <w:rsid w:val="00FA76EA"/>
    <w:rsid w:val="00FA791C"/>
    <w:rsid w:val="00FB0F52"/>
    <w:rsid w:val="00FB14F3"/>
    <w:rsid w:val="00FB2153"/>
    <w:rsid w:val="00FB319A"/>
    <w:rsid w:val="00FB4014"/>
    <w:rsid w:val="00FB650F"/>
    <w:rsid w:val="00FC1267"/>
    <w:rsid w:val="00FC1B98"/>
    <w:rsid w:val="00FC2A74"/>
    <w:rsid w:val="00FD3077"/>
    <w:rsid w:val="00FD3911"/>
    <w:rsid w:val="00FD500B"/>
    <w:rsid w:val="00FD5296"/>
    <w:rsid w:val="00FD642C"/>
    <w:rsid w:val="00FD7207"/>
    <w:rsid w:val="00FE2D05"/>
    <w:rsid w:val="00FE2D49"/>
    <w:rsid w:val="00FE3434"/>
    <w:rsid w:val="00FE6EB8"/>
    <w:rsid w:val="00FF11C9"/>
    <w:rsid w:val="00FF1701"/>
    <w:rsid w:val="00FF4445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3C0F"/>
  <w15:docId w15:val="{E9BB7925-E7BD-4C17-94F3-E81F49D0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4BE"/>
    <w:rPr>
      <w:rFonts w:ascii="Calibri" w:eastAsia="Times New Roman" w:hAnsi="Calibri" w:cs="Calibri"/>
    </w:rPr>
  </w:style>
  <w:style w:type="paragraph" w:styleId="Naslov1">
    <w:name w:val="heading 1"/>
    <w:basedOn w:val="Normal"/>
    <w:next w:val="Normal"/>
    <w:link w:val="Naslov1Char"/>
    <w:rsid w:val="00BC3810"/>
    <w:pPr>
      <w:widowControl w:val="0"/>
      <w:spacing w:before="480" w:after="120"/>
      <w:outlineLvl w:val="0"/>
    </w:pPr>
    <w:rPr>
      <w:rFonts w:eastAsia="Calibri"/>
      <w:b/>
      <w:color w:val="000000"/>
      <w:sz w:val="48"/>
      <w:lang w:eastAsia="hr-HR"/>
    </w:rPr>
  </w:style>
  <w:style w:type="paragraph" w:styleId="Naslov2">
    <w:name w:val="heading 2"/>
    <w:basedOn w:val="Normal"/>
    <w:next w:val="Normal"/>
    <w:link w:val="Naslov2Char"/>
    <w:rsid w:val="00BC3810"/>
    <w:pPr>
      <w:widowControl w:val="0"/>
      <w:spacing w:before="360" w:after="80"/>
      <w:outlineLvl w:val="1"/>
    </w:pPr>
    <w:rPr>
      <w:rFonts w:eastAsia="Calibri"/>
      <w:b/>
      <w:color w:val="000000"/>
      <w:sz w:val="36"/>
      <w:lang w:eastAsia="hr-HR"/>
    </w:rPr>
  </w:style>
  <w:style w:type="paragraph" w:styleId="Naslov3">
    <w:name w:val="heading 3"/>
    <w:basedOn w:val="Normal"/>
    <w:next w:val="Normal"/>
    <w:link w:val="Naslov3Char"/>
    <w:rsid w:val="00BC3810"/>
    <w:pPr>
      <w:widowControl w:val="0"/>
      <w:spacing w:before="280" w:after="80"/>
      <w:outlineLvl w:val="2"/>
    </w:pPr>
    <w:rPr>
      <w:rFonts w:eastAsia="Calibri"/>
      <w:b/>
      <w:color w:val="000000"/>
      <w:sz w:val="28"/>
      <w:lang w:eastAsia="hr-HR"/>
    </w:rPr>
  </w:style>
  <w:style w:type="paragraph" w:styleId="Naslov4">
    <w:name w:val="heading 4"/>
    <w:basedOn w:val="Normal"/>
    <w:next w:val="Normal"/>
    <w:link w:val="Naslov4Char"/>
    <w:rsid w:val="00BC3810"/>
    <w:pPr>
      <w:widowControl w:val="0"/>
      <w:spacing w:before="240" w:after="40"/>
      <w:outlineLvl w:val="3"/>
    </w:pPr>
    <w:rPr>
      <w:rFonts w:eastAsia="Calibri"/>
      <w:b/>
      <w:color w:val="000000"/>
      <w:sz w:val="24"/>
      <w:lang w:eastAsia="hr-HR"/>
    </w:rPr>
  </w:style>
  <w:style w:type="paragraph" w:styleId="Naslov5">
    <w:name w:val="heading 5"/>
    <w:basedOn w:val="Normal"/>
    <w:next w:val="Normal"/>
    <w:link w:val="Naslov5Char"/>
    <w:rsid w:val="00BC3810"/>
    <w:pPr>
      <w:widowControl w:val="0"/>
      <w:spacing w:before="220" w:after="40"/>
      <w:outlineLvl w:val="4"/>
    </w:pPr>
    <w:rPr>
      <w:rFonts w:eastAsia="Calibri"/>
      <w:b/>
      <w:color w:val="000000"/>
      <w:lang w:eastAsia="hr-HR"/>
    </w:rPr>
  </w:style>
  <w:style w:type="paragraph" w:styleId="Naslov6">
    <w:name w:val="heading 6"/>
    <w:basedOn w:val="Normal"/>
    <w:next w:val="Normal"/>
    <w:link w:val="Naslov6Char"/>
    <w:rsid w:val="00BC3810"/>
    <w:pPr>
      <w:widowControl w:val="0"/>
      <w:spacing w:before="200" w:after="40"/>
      <w:outlineLvl w:val="5"/>
    </w:pPr>
    <w:rPr>
      <w:rFonts w:eastAsia="Calibri"/>
      <w:b/>
      <w:color w:val="000000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C3810"/>
    <w:rPr>
      <w:rFonts w:ascii="Calibri" w:eastAsia="Calibri" w:hAnsi="Calibri" w:cs="Calibri"/>
      <w:b/>
      <w:color w:val="000000"/>
      <w:sz w:val="48"/>
      <w:lang w:eastAsia="hr-HR"/>
    </w:rPr>
  </w:style>
  <w:style w:type="character" w:customStyle="1" w:styleId="Naslov2Char">
    <w:name w:val="Naslov 2 Char"/>
    <w:basedOn w:val="Zadanifontodlomka"/>
    <w:link w:val="Naslov2"/>
    <w:rsid w:val="00BC3810"/>
    <w:rPr>
      <w:rFonts w:ascii="Calibri" w:eastAsia="Calibri" w:hAnsi="Calibri" w:cs="Calibri"/>
      <w:b/>
      <w:color w:val="000000"/>
      <w:sz w:val="36"/>
      <w:lang w:eastAsia="hr-HR"/>
    </w:rPr>
  </w:style>
  <w:style w:type="character" w:customStyle="1" w:styleId="Naslov3Char">
    <w:name w:val="Naslov 3 Char"/>
    <w:basedOn w:val="Zadanifontodlomka"/>
    <w:link w:val="Naslov3"/>
    <w:rsid w:val="00BC3810"/>
    <w:rPr>
      <w:rFonts w:ascii="Calibri" w:eastAsia="Calibri" w:hAnsi="Calibri" w:cs="Calibri"/>
      <w:b/>
      <w:color w:val="000000"/>
      <w:sz w:val="28"/>
      <w:lang w:eastAsia="hr-HR"/>
    </w:rPr>
  </w:style>
  <w:style w:type="character" w:customStyle="1" w:styleId="Naslov4Char">
    <w:name w:val="Naslov 4 Char"/>
    <w:basedOn w:val="Zadanifontodlomka"/>
    <w:link w:val="Naslov4"/>
    <w:rsid w:val="00BC3810"/>
    <w:rPr>
      <w:rFonts w:ascii="Calibri" w:eastAsia="Calibri" w:hAnsi="Calibri" w:cs="Calibri"/>
      <w:b/>
      <w:color w:val="000000"/>
      <w:sz w:val="24"/>
      <w:lang w:eastAsia="hr-HR"/>
    </w:rPr>
  </w:style>
  <w:style w:type="character" w:customStyle="1" w:styleId="Naslov5Char">
    <w:name w:val="Naslov 5 Char"/>
    <w:basedOn w:val="Zadanifontodlomka"/>
    <w:link w:val="Naslov5"/>
    <w:rsid w:val="00BC3810"/>
    <w:rPr>
      <w:rFonts w:ascii="Calibri" w:eastAsia="Calibri" w:hAnsi="Calibri" w:cs="Calibri"/>
      <w:b/>
      <w:color w:val="000000"/>
      <w:lang w:eastAsia="hr-HR"/>
    </w:rPr>
  </w:style>
  <w:style w:type="character" w:customStyle="1" w:styleId="Naslov6Char">
    <w:name w:val="Naslov 6 Char"/>
    <w:basedOn w:val="Zadanifontodlomka"/>
    <w:link w:val="Naslov6"/>
    <w:rsid w:val="00BC3810"/>
    <w:rPr>
      <w:rFonts w:ascii="Calibri" w:eastAsia="Calibri" w:hAnsi="Calibri" w:cs="Calibri"/>
      <w:b/>
      <w:color w:val="000000"/>
      <w:sz w:val="20"/>
      <w:lang w:eastAsia="hr-HR"/>
    </w:rPr>
  </w:style>
  <w:style w:type="paragraph" w:styleId="Zaglavlje">
    <w:name w:val="header"/>
    <w:basedOn w:val="Normal"/>
    <w:link w:val="ZaglavljeChar"/>
    <w:uiPriority w:val="99"/>
    <w:rsid w:val="00BC38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C3810"/>
    <w:rPr>
      <w:rFonts w:ascii="Calibri" w:eastAsia="Times New Roman" w:hAnsi="Calibri" w:cs="Calibri"/>
    </w:rPr>
  </w:style>
  <w:style w:type="paragraph" w:styleId="Podnoje">
    <w:name w:val="footer"/>
    <w:basedOn w:val="Normal"/>
    <w:link w:val="PodnojeChar"/>
    <w:uiPriority w:val="99"/>
    <w:rsid w:val="00BC38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C3810"/>
    <w:rPr>
      <w:rFonts w:ascii="Calibri" w:eastAsia="Times New Roman" w:hAnsi="Calibri" w:cs="Calibri"/>
    </w:rPr>
  </w:style>
  <w:style w:type="paragraph" w:styleId="Odlomakpopisa">
    <w:name w:val="List Paragraph"/>
    <w:basedOn w:val="Normal"/>
    <w:uiPriority w:val="34"/>
    <w:qFormat/>
    <w:rsid w:val="00BC381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rsid w:val="00BC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BC381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C3810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character" w:styleId="Brojstranice">
    <w:name w:val="page number"/>
    <w:basedOn w:val="Zadanifontodlomka"/>
    <w:uiPriority w:val="99"/>
    <w:rsid w:val="00BC3810"/>
  </w:style>
  <w:style w:type="character" w:customStyle="1" w:styleId="NaslovChar">
    <w:name w:val="Naslov Char"/>
    <w:link w:val="Naslov"/>
    <w:locked/>
    <w:rsid w:val="00BC3810"/>
    <w:rPr>
      <w:b/>
      <w:sz w:val="48"/>
      <w:lang w:val="en-US" w:eastAsia="ar-SA"/>
    </w:rPr>
  </w:style>
  <w:style w:type="paragraph" w:styleId="Naslov">
    <w:name w:val="Title"/>
    <w:basedOn w:val="Normal"/>
    <w:next w:val="Podnaslov"/>
    <w:link w:val="NaslovChar"/>
    <w:qFormat/>
    <w:rsid w:val="00BC3810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Theme="minorHAnsi" w:eastAsiaTheme="minorHAnsi" w:hAnsiTheme="minorHAnsi" w:cstheme="minorBidi"/>
      <w:b/>
      <w:sz w:val="48"/>
      <w:lang w:val="en-US" w:eastAsia="ar-SA"/>
    </w:rPr>
  </w:style>
  <w:style w:type="paragraph" w:styleId="Podnaslov">
    <w:name w:val="Subtitle"/>
    <w:basedOn w:val="Normal"/>
    <w:next w:val="Normal"/>
    <w:link w:val="PodnaslovChar"/>
    <w:qFormat/>
    <w:rsid w:val="00BC3810"/>
    <w:pPr>
      <w:spacing w:after="60" w:line="480" w:lineRule="auto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BC3810"/>
    <w:rPr>
      <w:rFonts w:ascii="Cambria" w:eastAsia="Times New Roman" w:hAnsi="Cambria" w:cs="Times New Roman"/>
      <w:sz w:val="24"/>
      <w:szCs w:val="24"/>
    </w:rPr>
  </w:style>
  <w:style w:type="character" w:customStyle="1" w:styleId="NaslovChar1">
    <w:name w:val="Naslov Char1"/>
    <w:basedOn w:val="Zadanifontodlomka"/>
    <w:rsid w:val="00BC38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3">
    <w:name w:val="Style3"/>
    <w:basedOn w:val="Normal"/>
    <w:uiPriority w:val="99"/>
    <w:rsid w:val="00BC381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ntStyle33">
    <w:name w:val="Font Style33"/>
    <w:basedOn w:val="Zadanifontodlomka"/>
    <w:uiPriority w:val="99"/>
    <w:rsid w:val="00BC381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Normal"/>
    <w:uiPriority w:val="99"/>
    <w:rsid w:val="00BC3810"/>
    <w:pPr>
      <w:widowControl w:val="0"/>
      <w:autoSpaceDE w:val="0"/>
      <w:autoSpaceDN w:val="0"/>
      <w:adjustRightInd w:val="0"/>
      <w:spacing w:after="0" w:line="274" w:lineRule="exact"/>
      <w:ind w:hanging="1080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Style2">
    <w:name w:val="Style2"/>
    <w:basedOn w:val="Normal"/>
    <w:uiPriority w:val="99"/>
    <w:rsid w:val="00BC3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Style4">
    <w:name w:val="Style4"/>
    <w:basedOn w:val="Normal"/>
    <w:uiPriority w:val="99"/>
    <w:rsid w:val="00BC3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Style5">
    <w:name w:val="Style5"/>
    <w:basedOn w:val="Normal"/>
    <w:uiPriority w:val="99"/>
    <w:rsid w:val="00BC3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Style6">
    <w:name w:val="Style6"/>
    <w:basedOn w:val="Normal"/>
    <w:uiPriority w:val="99"/>
    <w:rsid w:val="00BC3810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Style7">
    <w:name w:val="Style7"/>
    <w:basedOn w:val="Normal"/>
    <w:uiPriority w:val="99"/>
    <w:rsid w:val="00BC3810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Style8">
    <w:name w:val="Style8"/>
    <w:basedOn w:val="Normal"/>
    <w:uiPriority w:val="99"/>
    <w:rsid w:val="00BC38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Style9">
    <w:name w:val="Style9"/>
    <w:basedOn w:val="Normal"/>
    <w:uiPriority w:val="99"/>
    <w:rsid w:val="00BC3810"/>
    <w:pPr>
      <w:widowControl w:val="0"/>
      <w:autoSpaceDE w:val="0"/>
      <w:autoSpaceDN w:val="0"/>
      <w:adjustRightInd w:val="0"/>
      <w:spacing w:after="0" w:line="274" w:lineRule="exact"/>
      <w:ind w:hanging="360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Style10">
    <w:name w:val="Style10"/>
    <w:basedOn w:val="Normal"/>
    <w:uiPriority w:val="99"/>
    <w:rsid w:val="00BC3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Style11">
    <w:name w:val="Style11"/>
    <w:basedOn w:val="Normal"/>
    <w:uiPriority w:val="99"/>
    <w:rsid w:val="00BC381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Style12">
    <w:name w:val="Style12"/>
    <w:basedOn w:val="Normal"/>
    <w:uiPriority w:val="99"/>
    <w:rsid w:val="00BC3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Style13">
    <w:name w:val="Style13"/>
    <w:basedOn w:val="Normal"/>
    <w:uiPriority w:val="99"/>
    <w:rsid w:val="00BC3810"/>
    <w:pPr>
      <w:widowControl w:val="0"/>
      <w:autoSpaceDE w:val="0"/>
      <w:autoSpaceDN w:val="0"/>
      <w:adjustRightInd w:val="0"/>
      <w:spacing w:after="0" w:line="274" w:lineRule="exact"/>
      <w:ind w:hanging="432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Style14">
    <w:name w:val="Style14"/>
    <w:basedOn w:val="Normal"/>
    <w:uiPriority w:val="99"/>
    <w:rsid w:val="00BC3810"/>
    <w:pPr>
      <w:widowControl w:val="0"/>
      <w:autoSpaceDE w:val="0"/>
      <w:autoSpaceDN w:val="0"/>
      <w:adjustRightInd w:val="0"/>
      <w:spacing w:after="0" w:line="278" w:lineRule="exact"/>
      <w:ind w:hanging="566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Style15">
    <w:name w:val="Style15"/>
    <w:basedOn w:val="Normal"/>
    <w:uiPriority w:val="99"/>
    <w:rsid w:val="00BC3810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Style16">
    <w:name w:val="Style16"/>
    <w:basedOn w:val="Normal"/>
    <w:uiPriority w:val="99"/>
    <w:rsid w:val="00BC3810"/>
    <w:pPr>
      <w:widowControl w:val="0"/>
      <w:autoSpaceDE w:val="0"/>
      <w:autoSpaceDN w:val="0"/>
      <w:adjustRightInd w:val="0"/>
      <w:spacing w:after="0" w:line="398" w:lineRule="exact"/>
      <w:ind w:firstLine="730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Style17">
    <w:name w:val="Style17"/>
    <w:basedOn w:val="Normal"/>
    <w:uiPriority w:val="99"/>
    <w:rsid w:val="00BC3810"/>
    <w:pPr>
      <w:widowControl w:val="0"/>
      <w:autoSpaceDE w:val="0"/>
      <w:autoSpaceDN w:val="0"/>
      <w:adjustRightInd w:val="0"/>
      <w:spacing w:after="0" w:line="276" w:lineRule="exact"/>
      <w:ind w:hanging="998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Style18">
    <w:name w:val="Style18"/>
    <w:basedOn w:val="Normal"/>
    <w:uiPriority w:val="99"/>
    <w:rsid w:val="00BC3810"/>
    <w:pPr>
      <w:widowControl w:val="0"/>
      <w:autoSpaceDE w:val="0"/>
      <w:autoSpaceDN w:val="0"/>
      <w:adjustRightInd w:val="0"/>
      <w:spacing w:after="0" w:line="269" w:lineRule="exact"/>
      <w:ind w:hanging="350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Style19">
    <w:name w:val="Style19"/>
    <w:basedOn w:val="Normal"/>
    <w:uiPriority w:val="99"/>
    <w:rsid w:val="00BC3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Style20">
    <w:name w:val="Style20"/>
    <w:basedOn w:val="Normal"/>
    <w:uiPriority w:val="99"/>
    <w:rsid w:val="00BC3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Style21">
    <w:name w:val="Style21"/>
    <w:basedOn w:val="Normal"/>
    <w:uiPriority w:val="99"/>
    <w:rsid w:val="00BC3810"/>
    <w:pPr>
      <w:widowControl w:val="0"/>
      <w:autoSpaceDE w:val="0"/>
      <w:autoSpaceDN w:val="0"/>
      <w:adjustRightInd w:val="0"/>
      <w:spacing w:after="0" w:line="274" w:lineRule="exact"/>
      <w:ind w:hanging="250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Style22">
    <w:name w:val="Style22"/>
    <w:basedOn w:val="Normal"/>
    <w:uiPriority w:val="99"/>
    <w:rsid w:val="00BC3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Style23">
    <w:name w:val="Style23"/>
    <w:basedOn w:val="Normal"/>
    <w:uiPriority w:val="99"/>
    <w:rsid w:val="00BC38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Style24">
    <w:name w:val="Style24"/>
    <w:basedOn w:val="Normal"/>
    <w:uiPriority w:val="99"/>
    <w:rsid w:val="00BC3810"/>
    <w:pPr>
      <w:widowControl w:val="0"/>
      <w:autoSpaceDE w:val="0"/>
      <w:autoSpaceDN w:val="0"/>
      <w:adjustRightInd w:val="0"/>
      <w:spacing w:after="0" w:line="274" w:lineRule="exact"/>
      <w:ind w:hanging="250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ntStyle26">
    <w:name w:val="Font Style26"/>
    <w:basedOn w:val="Zadanifontodlomka"/>
    <w:uiPriority w:val="99"/>
    <w:rsid w:val="00BC38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Zadanifontodlomka"/>
    <w:uiPriority w:val="99"/>
    <w:rsid w:val="00BC381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8">
    <w:name w:val="Font Style28"/>
    <w:basedOn w:val="Zadanifontodlomka"/>
    <w:uiPriority w:val="99"/>
    <w:rsid w:val="00BC3810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Zadanifontodlomka"/>
    <w:uiPriority w:val="99"/>
    <w:rsid w:val="00BC3810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30">
    <w:name w:val="Font Style30"/>
    <w:basedOn w:val="Zadanifontodlomka"/>
    <w:uiPriority w:val="99"/>
    <w:rsid w:val="00BC381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basedOn w:val="Zadanifontodlomka"/>
    <w:uiPriority w:val="99"/>
    <w:rsid w:val="00BC38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2">
    <w:name w:val="Font Style32"/>
    <w:basedOn w:val="Zadanifontodlomka"/>
    <w:uiPriority w:val="99"/>
    <w:rsid w:val="00BC3810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Zadanifontodlomka"/>
    <w:uiPriority w:val="99"/>
    <w:rsid w:val="00BC3810"/>
    <w:rPr>
      <w:rFonts w:ascii="Times New Roman" w:hAnsi="Times New Roman" w:cs="Times New Roman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C3810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unhideWhenUsed/>
    <w:rsid w:val="00BC381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C3810"/>
    <w:pPr>
      <w:widowControl w:val="0"/>
      <w:spacing w:line="240" w:lineRule="auto"/>
    </w:pPr>
    <w:rPr>
      <w:rFonts w:eastAsia="Calibri"/>
      <w:color w:val="000000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C3810"/>
    <w:rPr>
      <w:rFonts w:ascii="Calibri" w:eastAsia="Calibri" w:hAnsi="Calibri" w:cs="Calibri"/>
      <w:color w:val="000000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C381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BC3810"/>
    <w:rPr>
      <w:rFonts w:ascii="Calibri" w:eastAsia="Calibri" w:hAnsi="Calibri" w:cs="Calibri"/>
      <w:b/>
      <w:bCs/>
      <w:color w:val="000000"/>
      <w:sz w:val="20"/>
      <w:szCs w:val="20"/>
      <w:lang w:eastAsia="hr-HR"/>
    </w:rPr>
  </w:style>
  <w:style w:type="paragraph" w:customStyle="1" w:styleId="default0">
    <w:name w:val="default"/>
    <w:basedOn w:val="Normal"/>
    <w:rsid w:val="00BC38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BC381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ListParagraph1">
    <w:name w:val="List Paragraph1"/>
    <w:basedOn w:val="Normal"/>
    <w:rsid w:val="00BC3810"/>
    <w:pPr>
      <w:suppressAutoHyphens/>
      <w:ind w:left="720"/>
    </w:pPr>
    <w:rPr>
      <w:rFonts w:eastAsia="Calibri"/>
      <w:lang w:eastAsia="ar-SA"/>
    </w:rPr>
  </w:style>
  <w:style w:type="paragraph" w:styleId="Bezproreda">
    <w:name w:val="No Spacing"/>
    <w:uiPriority w:val="1"/>
    <w:qFormat/>
    <w:rsid w:val="00BC3810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Odlomakpopisa1">
    <w:name w:val="Odlomak popisa1"/>
    <w:basedOn w:val="Normal"/>
    <w:rsid w:val="00BC381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BC3810"/>
    <w:pPr>
      <w:tabs>
        <w:tab w:val="left" w:pos="709"/>
        <w:tab w:val="right" w:pos="9072"/>
      </w:tabs>
      <w:spacing w:after="0" w:line="240" w:lineRule="auto"/>
      <w:jc w:val="both"/>
    </w:pPr>
    <w:rPr>
      <w:rFonts w:ascii="Arial" w:hAnsi="Arial"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BC3810"/>
    <w:rPr>
      <w:rFonts w:ascii="Arial" w:eastAsia="Times New Roman" w:hAnsi="Arial" w:cs="Times New Roman"/>
      <w:sz w:val="20"/>
      <w:szCs w:val="20"/>
    </w:rPr>
  </w:style>
  <w:style w:type="paragraph" w:styleId="Uvuenotijeloteksta">
    <w:name w:val="Body Text Indent"/>
    <w:basedOn w:val="Normal"/>
    <w:link w:val="UvuenotijelotekstaChar"/>
    <w:rsid w:val="00BC3810"/>
    <w:pPr>
      <w:tabs>
        <w:tab w:val="left" w:pos="709"/>
        <w:tab w:val="right" w:pos="9072"/>
      </w:tabs>
      <w:spacing w:after="0" w:line="240" w:lineRule="auto"/>
      <w:ind w:left="720" w:hanging="720"/>
      <w:jc w:val="both"/>
    </w:pPr>
    <w:rPr>
      <w:rFonts w:ascii="Arial" w:hAnsi="Arial" w:cs="Times New Roman"/>
      <w:sz w:val="20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BC3810"/>
    <w:rPr>
      <w:rFonts w:ascii="Arial" w:eastAsia="Times New Roman" w:hAnsi="Arial" w:cs="Times New Roman"/>
      <w:sz w:val="20"/>
      <w:szCs w:val="20"/>
    </w:rPr>
  </w:style>
  <w:style w:type="table" w:styleId="Reetkatablice">
    <w:name w:val="Table Grid"/>
    <w:basedOn w:val="Obinatablica"/>
    <w:uiPriority w:val="59"/>
    <w:rsid w:val="001E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A5A8B"/>
    <w:rPr>
      <w:color w:val="954F72"/>
      <w:u w:val="single"/>
    </w:rPr>
  </w:style>
  <w:style w:type="paragraph" w:customStyle="1" w:styleId="msonormal0">
    <w:name w:val="msonormal"/>
    <w:basedOn w:val="Normal"/>
    <w:rsid w:val="004A5A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4A5A8B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4A5A8B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7">
    <w:name w:val="xl67"/>
    <w:basedOn w:val="Normal"/>
    <w:rsid w:val="004A5A8B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4A5A8B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4A5A8B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4A5A8B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4A5A8B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customStyle="1" w:styleId="xl72">
    <w:name w:val="xl72"/>
    <w:basedOn w:val="Normal"/>
    <w:rsid w:val="004A5A8B"/>
    <w:pPr>
      <w:shd w:val="clear" w:color="000000" w:fill="80808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3">
    <w:name w:val="xl73"/>
    <w:basedOn w:val="Normal"/>
    <w:rsid w:val="004A5A8B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4A5A8B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4F1260"/>
    <w:pP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customStyle="1" w:styleId="xl76">
    <w:name w:val="xl76"/>
    <w:basedOn w:val="Normal"/>
    <w:rsid w:val="004F1260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4F1260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4F1260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customStyle="1" w:styleId="xl79">
    <w:name w:val="xl79"/>
    <w:basedOn w:val="Normal"/>
    <w:rsid w:val="004F1260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4F12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xl81">
    <w:name w:val="xl81"/>
    <w:basedOn w:val="Normal"/>
    <w:rsid w:val="004F1260"/>
    <w:pPr>
      <w:shd w:val="clear" w:color="000000" w:fill="969696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4F1260"/>
    <w:pP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3">
    <w:name w:val="xl83"/>
    <w:basedOn w:val="Normal"/>
    <w:rsid w:val="004F1260"/>
    <w:pPr>
      <w:shd w:val="clear" w:color="000000" w:fill="9999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4F1260"/>
    <w:pPr>
      <w:shd w:val="clear" w:color="000000" w:fill="CCCC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333333"/>
      <w:sz w:val="24"/>
      <w:szCs w:val="24"/>
      <w:lang w:eastAsia="hr-HR"/>
    </w:rPr>
  </w:style>
  <w:style w:type="paragraph" w:customStyle="1" w:styleId="xl85">
    <w:name w:val="xl85"/>
    <w:basedOn w:val="Normal"/>
    <w:rsid w:val="004F1260"/>
    <w:pPr>
      <w:shd w:val="clear" w:color="000000" w:fill="FF990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4F1260"/>
    <w:pP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customStyle="1" w:styleId="xl87">
    <w:name w:val="xl87"/>
    <w:basedOn w:val="Normal"/>
    <w:rsid w:val="004F1260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customStyle="1" w:styleId="xl88">
    <w:name w:val="xl88"/>
    <w:basedOn w:val="Normal"/>
    <w:rsid w:val="00B75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hr-HR"/>
    </w:rPr>
  </w:style>
  <w:style w:type="paragraph" w:customStyle="1" w:styleId="xl89">
    <w:name w:val="xl89"/>
    <w:basedOn w:val="Normal"/>
    <w:rsid w:val="00B75B7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hr-HR"/>
    </w:rPr>
  </w:style>
  <w:style w:type="paragraph" w:customStyle="1" w:styleId="xl90">
    <w:name w:val="xl90"/>
    <w:basedOn w:val="Normal"/>
    <w:rsid w:val="00B75B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hr-HR"/>
    </w:rPr>
  </w:style>
  <w:style w:type="paragraph" w:customStyle="1" w:styleId="xl91">
    <w:name w:val="xl91"/>
    <w:basedOn w:val="Normal"/>
    <w:rsid w:val="00B75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  <w:lang w:eastAsia="hr-HR"/>
    </w:rPr>
  </w:style>
  <w:style w:type="paragraph" w:customStyle="1" w:styleId="xl92">
    <w:name w:val="xl92"/>
    <w:basedOn w:val="Normal"/>
    <w:rsid w:val="00B75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  <w:lang w:eastAsia="hr-HR"/>
    </w:rPr>
  </w:style>
  <w:style w:type="paragraph" w:customStyle="1" w:styleId="xl93">
    <w:name w:val="xl93"/>
    <w:basedOn w:val="Normal"/>
    <w:rsid w:val="00B75B7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  <w:lang w:eastAsia="hr-HR"/>
    </w:rPr>
  </w:style>
  <w:style w:type="paragraph" w:customStyle="1" w:styleId="xl94">
    <w:name w:val="xl94"/>
    <w:basedOn w:val="Normal"/>
    <w:rsid w:val="00B75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B75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hr-HR"/>
    </w:rPr>
  </w:style>
  <w:style w:type="paragraph" w:customStyle="1" w:styleId="xl97">
    <w:name w:val="xl97"/>
    <w:basedOn w:val="Normal"/>
    <w:rsid w:val="00B75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hr-HR"/>
    </w:rPr>
  </w:style>
  <w:style w:type="paragraph" w:customStyle="1" w:styleId="xl98">
    <w:name w:val="xl98"/>
    <w:basedOn w:val="Normal"/>
    <w:rsid w:val="00B75B7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hr-HR"/>
    </w:rPr>
  </w:style>
  <w:style w:type="paragraph" w:customStyle="1" w:styleId="xl99">
    <w:name w:val="xl99"/>
    <w:basedOn w:val="Normal"/>
    <w:rsid w:val="00B75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hr-HR"/>
    </w:rPr>
  </w:style>
  <w:style w:type="paragraph" w:customStyle="1" w:styleId="xl100">
    <w:name w:val="xl100"/>
    <w:basedOn w:val="Normal"/>
    <w:rsid w:val="00B75B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hr-HR"/>
    </w:rPr>
  </w:style>
  <w:style w:type="paragraph" w:customStyle="1" w:styleId="xl101">
    <w:name w:val="xl101"/>
    <w:basedOn w:val="Normal"/>
    <w:rsid w:val="00B75B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hr-HR"/>
    </w:rPr>
  </w:style>
  <w:style w:type="paragraph" w:customStyle="1" w:styleId="xl102">
    <w:name w:val="xl102"/>
    <w:basedOn w:val="Normal"/>
    <w:rsid w:val="00B75B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hr-HR"/>
    </w:rPr>
  </w:style>
  <w:style w:type="paragraph" w:customStyle="1" w:styleId="xl103">
    <w:name w:val="xl103"/>
    <w:basedOn w:val="Normal"/>
    <w:rsid w:val="00B75B7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hr-HR"/>
    </w:rPr>
  </w:style>
  <w:style w:type="paragraph" w:customStyle="1" w:styleId="xl104">
    <w:name w:val="xl104"/>
    <w:basedOn w:val="Normal"/>
    <w:rsid w:val="00B75B7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eastAsia="hr-HR"/>
    </w:rPr>
  </w:style>
  <w:style w:type="paragraph" w:customStyle="1" w:styleId="xl105">
    <w:name w:val="xl105"/>
    <w:basedOn w:val="Normal"/>
    <w:rsid w:val="00B75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eastAsia="hr-HR"/>
    </w:rPr>
  </w:style>
  <w:style w:type="paragraph" w:customStyle="1" w:styleId="xl106">
    <w:name w:val="xl106"/>
    <w:basedOn w:val="Normal"/>
    <w:rsid w:val="00B75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hr-HR"/>
    </w:rPr>
  </w:style>
  <w:style w:type="paragraph" w:customStyle="1" w:styleId="xl107">
    <w:name w:val="xl107"/>
    <w:basedOn w:val="Normal"/>
    <w:rsid w:val="00B75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hr-HR"/>
    </w:rPr>
  </w:style>
  <w:style w:type="paragraph" w:customStyle="1" w:styleId="xl108">
    <w:name w:val="xl108"/>
    <w:basedOn w:val="Normal"/>
    <w:rsid w:val="00B75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hr-HR"/>
    </w:rPr>
  </w:style>
  <w:style w:type="paragraph" w:customStyle="1" w:styleId="xl109">
    <w:name w:val="xl109"/>
    <w:basedOn w:val="Normal"/>
    <w:rsid w:val="00B75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hr-HR"/>
    </w:rPr>
  </w:style>
  <w:style w:type="paragraph" w:customStyle="1" w:styleId="xl110">
    <w:name w:val="xl110"/>
    <w:basedOn w:val="Normal"/>
    <w:rsid w:val="00B75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  <w:lang w:eastAsia="hr-HR"/>
    </w:rPr>
  </w:style>
  <w:style w:type="paragraph" w:customStyle="1" w:styleId="xl111">
    <w:name w:val="xl111"/>
    <w:basedOn w:val="Normal"/>
    <w:rsid w:val="00B75B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hr-HR"/>
    </w:rPr>
  </w:style>
  <w:style w:type="paragraph" w:customStyle="1" w:styleId="xl112">
    <w:name w:val="xl112"/>
    <w:basedOn w:val="Normal"/>
    <w:rsid w:val="00B75B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xl113">
    <w:name w:val="xl113"/>
    <w:basedOn w:val="Normal"/>
    <w:rsid w:val="00B75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4"/>
      <w:szCs w:val="14"/>
      <w:lang w:eastAsia="hr-HR"/>
    </w:rPr>
  </w:style>
  <w:style w:type="paragraph" w:customStyle="1" w:styleId="xl114">
    <w:name w:val="xl114"/>
    <w:basedOn w:val="Normal"/>
    <w:rsid w:val="00B75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  <w:lang w:eastAsia="hr-HR"/>
    </w:rPr>
  </w:style>
  <w:style w:type="paragraph" w:customStyle="1" w:styleId="xl115">
    <w:name w:val="xl115"/>
    <w:basedOn w:val="Normal"/>
    <w:rsid w:val="00B75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hr-HR"/>
    </w:rPr>
  </w:style>
  <w:style w:type="paragraph" w:customStyle="1" w:styleId="xl116">
    <w:name w:val="xl116"/>
    <w:basedOn w:val="Normal"/>
    <w:rsid w:val="00B75B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hr-HR"/>
    </w:rPr>
  </w:style>
  <w:style w:type="paragraph" w:customStyle="1" w:styleId="xl117">
    <w:name w:val="xl117"/>
    <w:basedOn w:val="Normal"/>
    <w:rsid w:val="00B75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hr-HR"/>
    </w:rPr>
  </w:style>
  <w:style w:type="paragraph" w:customStyle="1" w:styleId="xl118">
    <w:name w:val="xl118"/>
    <w:basedOn w:val="Normal"/>
    <w:rsid w:val="00B75B7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hr-HR"/>
    </w:rPr>
  </w:style>
  <w:style w:type="paragraph" w:customStyle="1" w:styleId="xl119">
    <w:name w:val="xl119"/>
    <w:basedOn w:val="Normal"/>
    <w:rsid w:val="00B75B7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hr-HR"/>
    </w:rPr>
  </w:style>
  <w:style w:type="paragraph" w:customStyle="1" w:styleId="xl120">
    <w:name w:val="xl120"/>
    <w:basedOn w:val="Normal"/>
    <w:rsid w:val="00B75B7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hr-HR"/>
    </w:rPr>
  </w:style>
  <w:style w:type="paragraph" w:customStyle="1" w:styleId="xl121">
    <w:name w:val="xl121"/>
    <w:basedOn w:val="Normal"/>
    <w:rsid w:val="00B75B7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hr-HR"/>
    </w:rPr>
  </w:style>
  <w:style w:type="paragraph" w:customStyle="1" w:styleId="xl122">
    <w:name w:val="xl122"/>
    <w:basedOn w:val="Normal"/>
    <w:rsid w:val="00B75B7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hr-HR"/>
    </w:rPr>
  </w:style>
  <w:style w:type="paragraph" w:customStyle="1" w:styleId="xl123">
    <w:name w:val="xl123"/>
    <w:basedOn w:val="Normal"/>
    <w:rsid w:val="00B75B7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hr-HR"/>
    </w:rPr>
  </w:style>
  <w:style w:type="paragraph" w:customStyle="1" w:styleId="xl124">
    <w:name w:val="xl124"/>
    <w:basedOn w:val="Normal"/>
    <w:rsid w:val="00B75B7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B75B7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16"/>
      <w:szCs w:val="16"/>
      <w:lang w:eastAsia="hr-HR"/>
    </w:rPr>
  </w:style>
  <w:style w:type="paragraph" w:customStyle="1" w:styleId="xl126">
    <w:name w:val="xl126"/>
    <w:basedOn w:val="Normal"/>
    <w:rsid w:val="00B75B7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16"/>
      <w:szCs w:val="16"/>
      <w:lang w:eastAsia="hr-HR"/>
    </w:rPr>
  </w:style>
  <w:style w:type="paragraph" w:customStyle="1" w:styleId="xl127">
    <w:name w:val="xl127"/>
    <w:basedOn w:val="Normal"/>
    <w:rsid w:val="00B75B7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16"/>
      <w:szCs w:val="16"/>
      <w:lang w:eastAsia="hr-HR"/>
    </w:rPr>
  </w:style>
  <w:style w:type="paragraph" w:customStyle="1" w:styleId="xl128">
    <w:name w:val="xl128"/>
    <w:basedOn w:val="Normal"/>
    <w:rsid w:val="00B75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16"/>
      <w:szCs w:val="16"/>
      <w:lang w:eastAsia="hr-HR"/>
    </w:rPr>
  </w:style>
  <w:style w:type="paragraph" w:customStyle="1" w:styleId="xl129">
    <w:name w:val="xl129"/>
    <w:basedOn w:val="Normal"/>
    <w:rsid w:val="00B75B7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eastAsia="hr-HR"/>
    </w:rPr>
  </w:style>
  <w:style w:type="paragraph" w:customStyle="1" w:styleId="xl130">
    <w:name w:val="xl130"/>
    <w:basedOn w:val="Normal"/>
    <w:rsid w:val="00B75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eastAsia="hr-HR"/>
    </w:rPr>
  </w:style>
  <w:style w:type="paragraph" w:customStyle="1" w:styleId="xl131">
    <w:name w:val="xl131"/>
    <w:basedOn w:val="Normal"/>
    <w:rsid w:val="00B75B7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eastAsia="hr-HR"/>
    </w:rPr>
  </w:style>
  <w:style w:type="paragraph" w:customStyle="1" w:styleId="xl132">
    <w:name w:val="xl132"/>
    <w:basedOn w:val="Normal"/>
    <w:rsid w:val="00B75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eastAsia="hr-HR"/>
    </w:rPr>
  </w:style>
  <w:style w:type="paragraph" w:customStyle="1" w:styleId="xl133">
    <w:name w:val="xl133"/>
    <w:basedOn w:val="Normal"/>
    <w:rsid w:val="00B75B7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  <w:lang w:eastAsia="hr-HR"/>
    </w:rPr>
  </w:style>
  <w:style w:type="paragraph" w:customStyle="1" w:styleId="xl134">
    <w:name w:val="xl134"/>
    <w:basedOn w:val="Normal"/>
    <w:rsid w:val="00B75B7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  <w:lang w:eastAsia="hr-HR"/>
    </w:rPr>
  </w:style>
  <w:style w:type="paragraph" w:customStyle="1" w:styleId="xl135">
    <w:name w:val="xl135"/>
    <w:basedOn w:val="Normal"/>
    <w:rsid w:val="00B75B7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  <w:lang w:eastAsia="hr-HR"/>
    </w:rPr>
  </w:style>
  <w:style w:type="paragraph" w:customStyle="1" w:styleId="xl136">
    <w:name w:val="xl136"/>
    <w:basedOn w:val="Normal"/>
    <w:rsid w:val="00B75B7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eastAsia="hr-HR"/>
    </w:rPr>
  </w:style>
  <w:style w:type="paragraph" w:customStyle="1" w:styleId="xl137">
    <w:name w:val="xl137"/>
    <w:basedOn w:val="Normal"/>
    <w:rsid w:val="00B75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eastAsia="hr-HR"/>
    </w:rPr>
  </w:style>
  <w:style w:type="paragraph" w:customStyle="1" w:styleId="xl138">
    <w:name w:val="xl138"/>
    <w:basedOn w:val="Normal"/>
    <w:rsid w:val="00B75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xl139">
    <w:name w:val="xl139"/>
    <w:basedOn w:val="Normal"/>
    <w:rsid w:val="00B75B7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eastAsia="hr-HR"/>
    </w:rPr>
  </w:style>
  <w:style w:type="paragraph" w:customStyle="1" w:styleId="xl140">
    <w:name w:val="xl140"/>
    <w:basedOn w:val="Normal"/>
    <w:rsid w:val="00B75B7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eastAsia="hr-HR"/>
    </w:rPr>
  </w:style>
  <w:style w:type="paragraph" w:customStyle="1" w:styleId="xl141">
    <w:name w:val="xl141"/>
    <w:basedOn w:val="Normal"/>
    <w:rsid w:val="00B75B7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eastAsia="hr-HR"/>
    </w:rPr>
  </w:style>
  <w:style w:type="paragraph" w:customStyle="1" w:styleId="xl142">
    <w:name w:val="xl142"/>
    <w:basedOn w:val="Normal"/>
    <w:rsid w:val="00B75B7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eastAsia="hr-HR"/>
    </w:rPr>
  </w:style>
  <w:style w:type="paragraph" w:customStyle="1" w:styleId="xl143">
    <w:name w:val="xl143"/>
    <w:basedOn w:val="Normal"/>
    <w:rsid w:val="00B75B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hr-HR"/>
    </w:rPr>
  </w:style>
  <w:style w:type="paragraph" w:customStyle="1" w:styleId="xl144">
    <w:name w:val="xl144"/>
    <w:basedOn w:val="Normal"/>
    <w:rsid w:val="00B75B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hr-HR"/>
    </w:rPr>
  </w:style>
  <w:style w:type="character" w:customStyle="1" w:styleId="fontstyle01">
    <w:name w:val="fontstyle01"/>
    <w:basedOn w:val="Zadanifontodlomka"/>
    <w:rsid w:val="0040049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C416-9875-41D3-B222-809C1547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23</Pages>
  <Words>6823</Words>
  <Characters>38897</Characters>
  <Application>Microsoft Office Word</Application>
  <DocSecurity>0</DocSecurity>
  <Lines>324</Lines>
  <Paragraphs>91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Tomica</dc:creator>
  <cp:lastModifiedBy>Admin</cp:lastModifiedBy>
  <cp:revision>12</cp:revision>
  <cp:lastPrinted>2024-03-26T13:23:00Z</cp:lastPrinted>
  <dcterms:created xsi:type="dcterms:W3CDTF">2024-03-26T16:45:00Z</dcterms:created>
  <dcterms:modified xsi:type="dcterms:W3CDTF">2024-03-27T08:26:00Z</dcterms:modified>
</cp:coreProperties>
</file>